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KStG 1977 — Abgrenzung der Steuerpflicht bei Personenvereinigungen und nicht rechtsfähigen Vermögensmassen sowie bei Realgemeinden</w:t>
      </w:r>
    </w:p>
    <w:p>
      <w:r>
        <w:rPr>
          <w:color w:val="555555"/>
          <w:sz w:val="18"/>
        </w:rPr>
        <w:t xml:space="preserve">Körperschaftsteuergesetz</w:t>
      </w:r>
    </w:p>
    <w:p>
      <w:r>
        <w:rPr>
          <w:color w:val="555555"/>
          <w:sz w:val="18"/>
        </w:rPr>
        <w:t xml:space="preserve">Stand: 06.01.2024 (konsolidierte Textfassung, kein amtliches Inkrafttretensdatum)</w:t>
      </w:r>
    </w:p>
    <w:p>
      <w:r>
        <w:t xml:space="preserve">(1) Personenvereinigungen, nicht rechtsfähige Anstalten, Stiftungen und andere Zweckvermögen sind körperschaftsteuerpflichtig, wenn ihr Einkommen weder nach diesem Gesetz noch nach dem Einkommensteuergesetz unmittelbar bei einem anderen Steuerpflichtigen zu versteuern ist.</w:t>
      </w:r>
    </w:p>
    <w:p>
      <w:r>
        <w:t xml:space="preserve">(2) 1Hauberg-, Wald-, Forst- und Laubgenossenschaften und ähnliche Realgemeinden, die zu den in § 1 bezeichneten Steuerpflichtigen gehören, sind nur insoweit körperschaftsteuerpflichtig, als sie einen Gewerbebetrieb unterhalten oder verpachten, der über den Rahmen eines Nebenbetriebs hinausgeht. 2Im Übrigen sind ihre Einkünfte unmittelbar bei den Beteiligten zu versteuern.</w:t>
      </w:r>
    </w:p>
    <w:p>
      <w:r>
        <w:rPr>
          <w:color w:val="555555"/>
          <w:sz w:val="17"/>
        </w:rPr>
        <w:t xml:space="preserve">Zitiervorschlag: § 3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https://recht.nulegal.eu/gesetze/KStG%201977/3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