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KStG 1977 — Umwandlung von Rücklagen in Nennkapital und Herabsetzung des Nennkapitals</w:t>
      </w:r>
    </w:p>
    <w:p>
      <w:r>
        <w:rPr>
          <w:color w:val="555555"/>
          <w:sz w:val="18"/>
        </w:rPr>
        <w:t xml:space="preserve">Körperschaftsteuergesetz</w:t>
      </w:r>
    </w:p>
    <w:p>
      <w:r>
        <w:rPr>
          <w:color w:val="555555"/>
          <w:sz w:val="18"/>
        </w:rPr>
        <w:t xml:space="preserve">Stand: 10.06.2019 (konsolidierte Textfassung, kein amtliches Inkrafttretensdatum)</w:t>
      </w:r>
    </w:p>
    <w:p>
      <w:r>
        <w:t xml:space="preserve">(1) 1Wird das Nennkapital durch Umwandlung von Rücklagen erhöht, so gilt der positive Bestand des steuerlichen Einlagekontos als vor den sonstigen Rücklagen umgewandelt. 2Maßgeblich ist dabei der sich vor Anwendung des Satzes 1 ergebende Bestand des steuerlichen Einlagekontos zum Schluss des Wirtschaftsjahrs der Rücklagenumwandlung. 3Enthält das Nennkapital auch Beträge, die ihm durch Umwandlung von sonstigen Rücklagen mit Ausnahme von aus Einlagen der Anteilseigner stammenden Beträgen zugeführt worden sind, so sind diese Teile des Nennkapitals getrennt auszuweisen und gesondert festzustellen (Sonderausweis). 4§ 27 Abs. 2 gilt entsprechend.</w:t>
      </w:r>
    </w:p>
    <w:p>
      <w:r>
        <w:t xml:space="preserve">(2) 1Im Fall der Herabsetzung des Nennkapitals oder der Auflösung der Körperschaft wird zunächst der Sonderausweis zum Schluss des vorangegangenen Wirtschaftsjahrs gemindert; ein übersteigender Betrag ist dem steuerlichen Einlagekonto gutzuschreiben, soweit die Einlage in das Nennkapital geleistet ist. 2Die Rückzahlung des Nennkapitals gilt, soweit der Sonderausweis zu mindern ist, als Gewinnausschüttung, die beim Anteilseigner zu Bezügen im Sinne des § 20 Abs. 1 Nr. 2 des Einkommensteuergesetzes führt. 3Ein den Sonderausweis übersteigender Betrag ist vom positiven Bestand des steuerlichen Einlagekontos abzuziehen. 4Soweit der positive Bestand des steuerlichen Einlagekontos für den Abzug nach Satz 3 nicht ausreicht, gilt die Rückzahlung des Nennkapitals ebenfalls als Gewinnausschüttung, die beim Anteilseigner zu Bezügen im Sinne des § 20 Abs. 1 Nr. 2 des Einkommensteuergesetzes führt.</w:t>
      </w:r>
    </w:p>
    <w:p>
      <w:r>
        <w:t xml:space="preserve">(3) Ein Sonderausweis zum Schluss des Wirtschaftsjahrs vermindert sich um den positiven Bestand des steuerlichen Einlagekontos zu diesem Stichtag; der Bestand des steuerlichen Einlagekontos vermindert sich entsprechend.</w:t>
      </w:r>
    </w:p>
    <w:p>
      <w:r>
        <w:rPr>
          <w:color w:val="555555"/>
          <w:sz w:val="17"/>
        </w:rPr>
        <w:t xml:space="preserve">Zitiervorschlag: § 28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