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24 KStG 1977 — Freibetrag für bestimmte Körperschaften</w:t>
      </w:r>
    </w:p>
    <w:p>
      <w:r>
        <w:rPr>
          <w:color w:val="555555"/>
          <w:sz w:val="18"/>
        </w:rPr>
        <w:t xml:space="preserve">Körperschaftsteuergesetz</w:t>
      </w:r>
    </w:p>
    <w:p>
      <w:r>
        <w:rPr>
          <w:color w:val="555555"/>
          <w:sz w:val="18"/>
        </w:rPr>
        <w:t xml:space="preserve">Stand: 10.01.2020 (konsolidierte Textfassung, kein amtliches Inkrafttretensdatum)</w:t>
      </w:r>
    </w:p>
    <w:p>
      <w:r>
        <w:t xml:space="preserve">1Vom Einkommen der steuerpflichtigen Körperschaften, Personenvereinigungen oder Vermögensmassen ist ein Freibetrag von 5 000 Euro, höchstens jedoch in Höhe des Einkommens, abzuziehen. 2Satz 1 gilt nicht</w:t>
      </w:r>
    </w:p>
    <w:p>
      <w:pPr>
        <w:ind w:left="420"/>
      </w:pPr>
      <w:r>
        <w:t xml:space="preserve">1. für Körperschaften und Personenvereinigungen, deren Leistungen bei den Empfängern zu den Einnahmen im Sinne des § 20 Abs. 1 Nr. 1 oder 2 des Einkommensteuergesetzes gehören,</w:t>
      </w:r>
    </w:p>
    <w:p>
      <w:pPr>
        <w:ind w:left="420"/>
      </w:pPr>
      <w:r>
        <w:t xml:space="preserve">2. für Vereine im Sinne des § 25,</w:t>
      </w:r>
    </w:p>
    <w:p>
      <w:pPr>
        <w:ind w:left="420"/>
      </w:pPr>
      <w:r>
        <w:t xml:space="preserve">3. für Investmentfonds im Sinne des § 1 des Investmentsteuergesetzes und Spezial-Investmentfonds im Sinne des § 26 des Investmentsteuergesetzes, deren Leistungen bei den Empfängern zu den Einnahmen im Sinne des § 20 Absatz 1 Nummer 3 oder 3a des Einkommensteuergesetzes gehören.</w:t>
      </w:r>
    </w:p>
    <w:p>
      <w:r>
        <w:rPr>
          <w:color w:val="555555"/>
          <w:sz w:val="17"/>
        </w:rPr>
        <w:t xml:space="preserve">Zitiervorschlag: § 24 KStG 1977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https://recht.nulegal.eu/gesetze/KStG%201977/24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