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KStG 1977 — Steuersatz</w:t>
      </w:r>
    </w:p>
    <w:p>
      <w:r>
        <w:rPr>
          <w:color w:val="555555"/>
          <w:sz w:val="18"/>
        </w:rPr>
        <w:t xml:space="preserve">Körperschaftsteuergesetz</w:t>
      </w:r>
    </w:p>
    <w:p>
      <w:r>
        <w:rPr>
          <w:color w:val="555555"/>
          <w:sz w:val="18"/>
        </w:rPr>
        <w:t xml:space="preserve">Stand: 19.07.2025 (konsolidierte Textfassung, kein amtliches Inkrafttretensdatum)</w:t>
      </w:r>
    </w:p>
    <w:p>
      <w:r>
        <w:t xml:space="preserve">(1) Die Körperschaftsteuer beträgt für</w:t>
      </w:r>
    </w:p>
    <w:p>
      <w:pPr>
        <w:ind w:left="420"/>
      </w:pPr>
      <w:r>
        <w:t xml:space="preserve">1. Veranlagungszeiträume bis 2027 15 Prozent,</w:t>
      </w:r>
    </w:p>
    <w:p>
      <w:pPr>
        <w:ind w:left="420"/>
      </w:pPr>
      <w:r>
        <w:t xml:space="preserve">2. den Veranlagungszeitraum 2028 14 Prozent,</w:t>
      </w:r>
    </w:p>
    <w:p>
      <w:pPr>
        <w:ind w:left="420"/>
      </w:pPr>
      <w:r>
        <w:t xml:space="preserve">3. den Veranlagungszeitraum 2029 13 Prozent,</w:t>
      </w:r>
    </w:p>
    <w:p>
      <w:pPr>
        <w:ind w:left="420"/>
      </w:pPr>
      <w:r>
        <w:t xml:space="preserve">4. den Veranlagungszeitraum 2030 12 Prozent,</w:t>
      </w:r>
    </w:p>
    <w:p>
      <w:pPr>
        <w:ind w:left="420"/>
      </w:pPr>
      <w:r>
        <w:t xml:space="preserve">5. den Veranlagungszeitraum 2031 11 Prozent und</w:t>
      </w:r>
    </w:p>
    <w:p>
      <w:pPr>
        <w:ind w:left="420"/>
      </w:pPr>
      <w:r>
        <w:t xml:space="preserve">6. Veranlagungszeiträume ab 2032 10 Prozent</w:t>
      </w:r>
    </w:p>
    <w:p>
      <w:r>
        <w:t xml:space="preserve">des zu versteuernden Einkommens.</w:t>
      </w:r>
    </w:p>
    <w:p>
      <w:r>
        <w:t xml:space="preserve">(2) Wird die Einkommensteuer auf Grund der Ermächtigung des § 51 Abs. 3 des Einkommensteuergesetzes herabgesetzt oder erhöht, so ermäßigt oder erhöht sich die Körperschaftsteuer entsprechend.</w:t>
      </w:r>
    </w:p>
    <w:p>
      <w:r>
        <w:rPr>
          <w:color w:val="555555"/>
          <w:sz w:val="17"/>
        </w:rPr>
        <w:t xml:space="preserve">Zitiervorschlag: § 23 KStG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https://recht.nulegal.eu/gesetze/KStG%201977/23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