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KStG 1977 — Genossenschaftliche Rückvergütung</w:t>
      </w:r>
    </w:p>
    <w:p>
      <w:r>
        <w:rPr>
          <w:color w:val="555555"/>
          <w:sz w:val="18"/>
        </w:rPr>
        <w:t xml:space="preserve">Körperschaftsteuergesetz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1Rückvergütungen der Genossenschaften an ihre Mitglieder sind nur insoweit als Betriebsausgaben abziehbar, als die dafür verwendeten Beträge im Mitgliedergeschäft erwirtschaftet worden sind. 2Zur Feststellung dieser Beträge ist der Überschuss</w:t>
      </w:r>
    </w:p>
    <w:p>
      <w:pPr>
        <w:ind w:left="420"/>
      </w:pPr>
      <w:r>
        <w:t xml:space="preserve">1. bei Absatz- und Produktionsgenossenschaften im Verhältnis des Wareneinkaufs bei Mitgliedern zum gesamten Wareneinkauf,</w:t>
      </w:r>
    </w:p>
    <w:p>
      <w:pPr>
        <w:ind w:left="420"/>
      </w:pPr>
      <w:r>
        <w:t xml:space="preserve">2. bei den übrigen Genossenschaften im Verhältnis des Mitgliederumsatzes zum Gesamtumsatz</w:t>
      </w:r>
    </w:p>
    <w:p>
      <w:r>
        <w:t xml:space="preserve">aufzuteilen. 3Der hiernach sich ergebende Gewinn aus dem Mitgliedergeschäft bildet die obere Grenze für den Abzug. 4Überschuss im Sinne des Satzes 2 ist das um den Gewinn aus Nebengeschäften geminderte Einkommen vor Abzug der genossenschaftlichen Rückvergütungen und des Verlustabzugs.</w:t>
      </w:r>
    </w:p>
    <w:p>
      <w:r>
        <w:t xml:space="preserve">(2) 1Voraussetzung für den Abzug nach Absatz 1 ist, dass die genossenschaftliche Rückvergütung unter Bemessung nach der Höhe des Umsatzes zwischen den Mitgliedern und der Genossenschaft bezahlt ist und dass sie</w:t>
      </w:r>
    </w:p>
    <w:p>
      <w:pPr>
        <w:ind w:left="420"/>
      </w:pPr>
      <w:r>
        <w:t xml:space="preserve">1. auf einem durch die Satzung der Genossenschaft eingeräumten Anspruch des Mitglieds beruht oder</w:t>
      </w:r>
    </w:p>
    <w:p>
      <w:pPr>
        <w:ind w:left="420"/>
      </w:pPr>
      <w:r>
        <w:t xml:space="preserve">2. durch Beschluss der Verwaltungsorgane der Genossenschaft festgelegt und der Beschluss den Mitgliedern bekannt gegeben worden ist oder</w:t>
      </w:r>
    </w:p>
    <w:p>
      <w:pPr>
        <w:ind w:left="420"/>
      </w:pPr>
      <w:r>
        <w:t xml:space="preserve">3. in der Generalversammlung beschlossen worden ist, die den Gewinn verteilt.</w:t>
      </w:r>
    </w:p>
    <w:p>
      <w:r>
        <w:t xml:space="preserve">2Nachzahlungen der Genossenschaft für Lieferungen oder Leistungen und Rückzahlungen von Unkostenbeiträgen sind wie genossenschaftliche Rückvergütungen zu behandeln.</w:t>
      </w:r>
    </w:p>
    <w:p>
      <w:r>
        <w:rPr>
          <w:color w:val="555555"/>
          <w:sz w:val="17"/>
        </w:rPr>
        <w:t xml:space="preserve">Zitiervorschlag: § 22 KStG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https://recht.nulegal.eu/gesetze/KStG%201977/22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