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21a KStG 1977 — Deckungsrückstellungen</w:t>
      </w:r>
    </w:p>
    <w:p>
      <w:r>
        <w:rPr>
          <w:color w:val="555555"/>
          <w:sz w:val="18"/>
        </w:rPr>
        <w:t xml:space="preserve">Körperschaftsteuergesetz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1§ 6 Abs. 1 Nr. 3a Buchstabe e des Einkommensteuergesetzes ist von Versicherungsunternehmen und Pensionsfonds mit der der Maßgabe anzuwenden, dass Deckungsrückstellungen im Sinne des § 341f des Handelsgesetzbuchs mit dem sich für die zugrunde liegenden Verträge aus der Bestimmung in Verbindung mit § 25 der Verordnung über die Rechnungslegung von Versicherungsunternehmen oder in Verbindung mit der auf Grund des § 240 Satz 1 Nummer 10 des Versicherungsaufsichtsgesetzes erlassenen Rechtsverordnung ergebenden Höchstzinssatz oder einem niedrigeren zulässigerweise verwendeten Zinssatz abgezinst werden können. 2Für die von Schaden- und Unfallversicherungsunternehmen gebildeten Renten-Deckungsrückstellungen kann der Höchstzinssatz, der sich auf Grund der nach § 217 Satz 1 Nummer 7 des Versicherungsaufsichtsgesetzes erlassenen Rechtsverordnung ergibt, oder ein niedrigerer zulässigerweise verwendeter Zinssatz zugrunde gelegt werden.</w:t>
      </w:r>
    </w:p>
    <w:p>
      <w:r>
        <w:t xml:space="preserve">(2) Soweit die in Absatz 1 genannten versicherungsrechtlichen Bestimmungen auf Versicherungsunternehmen mit Sitz in einem anderen Mitgliedstaat der Europäischen Union oder in einem anderen Vertragsstaat des EWR-Abkommens keine Anwendung finden, können diese entsprechend verfahren.</w:t>
      </w:r>
    </w:p>
    <w:p>
      <w:r>
        <w:rPr>
          <w:color w:val="555555"/>
          <w:sz w:val="17"/>
        </w:rPr>
        <w:t xml:space="preserve">Zitiervorschlag: § 21a KStG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https://recht.nulegal.eu/gesetze/KStG%201977/21a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