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KStG 1977 — Beitragsrückerstattungen</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1Aufwendungen für Beitragsrückerstattungen und Direktgutschriften, die für das selbst abgeschlossene Geschäft gewährt werden, sind abziehbar</w:t>
      </w:r>
    </w:p>
    <w:p>
      <w:pPr>
        <w:ind w:left="420"/>
      </w:pPr>
      <w:r>
        <w:t xml:space="preserve">1. in dem nach Art der Lebensversicherung betriebenen Geschäft bis zu einem Höchstbetrag, der sich auf Grundlage des nach handelsrechtlichen Vorschriften ermittelten Jahresergebnisses für das selbst abgeschlossene Geschäft ohne Berücksichtigung eines Gewinnabführungsvertrages ermittelt. 2Diese Grundlage erhöht sich um die für Beitragsrückerstattungen und Direktgutschriften aufgewendeten Beträge, soweit die Beträge das Jahresergebnis gemindert haben. 3Sie mindert sich um den Nettoertrag des Eigenkapitals am Beginn des Wirtschaftsjahrs. 4Als Eigenkapital gilt das nach den Vorschriften der auf Grund des § 39 des Versicherungsaufsichtsgesetzes erlassenen Verordnungen über die Berichterstattung von Versicherungsunternehmen zu ermittelnde Eigenkapital zuzüglich 10 Prozent des ungebundenen Teils der Rückstellung für Beitragsrückerstattung. 5Als Nettoertrag gilt 70 Prozent der Differenz zwischen Erträgen und Aufwendungen aus Kapitalanlagen, die anteilig auf das Eigenkapital entfallen. 6Dabei sind die Kapitalanlagen auszusondern, bei denen das Anlagerisiko nicht vom Versicherungsunternehmen getragen wird. 7Als Höchstbetrag mindestens abziehbar sind die Aufwendungen, die auf Grund gesetzlicher Vorschriften zu gewähren sind. 8Die Sätze 1 bis 7 sind für Pensionsfonds entsprechend anzuwenden,</w:t>
      </w:r>
    </w:p>
    <w:p>
      <w:pPr>
        <w:ind w:left="420"/>
      </w:pPr>
      <w:r>
        <w:t xml:space="preserve">2. in den übrigen Versicherungsgeschäften auf Grund des versicherungstechnischen Überschusses bis zur Höhe des Überschusses, der sich aus den Beitragseinnahmen nach Abzug aller anteiligen abziehbaren und nichtabziehbaren Betriebsausgaben einschließlich der Versicherungsleistungen, Rückstellungen und Rechnungsabgrenzungsposten ergibt. 2Der Berechnung des Überschusses sind die auf das Wirtschaftsjahr entfallenden Beitragseinnahmen und Betriebsausgaben des einzelnen Versicherungszweiges aus dem selbst abgeschlossenen Geschäft für eigene Rechnung zugrunde zu legen.</w:t>
      </w:r>
    </w:p>
    <w:p>
      <w:r>
        <w:t xml:space="preserve">2Der nach Satz 1 Nummer 1 für den Abzug maßgebliche Betrag ist in dem Verhältnis abziehbar, wie die für die Beitragsrückerstattung maßgeblichen Überschüsse am Kapitalanlageergebnis im Geltungsbereich dieses Gesetzes dem Grunde nach steuerpflichtig und nicht steuerbefreit sind. 3Ist maßgeblicher Betrag der sich nach Satz 1 Nummer 1 Satz 7 ergebende Betrag, ist Satz 2 nur für Aufwendungen aus dem Kapitalanlageergebnis anzuwenden.</w:t>
      </w:r>
    </w:p>
    <w:p>
      <w:r>
        <w:t xml:space="preserve">(2) § 6 Absatz 1 Nummer 3a des Einkommensteuergesetzes ist nicht anzuwenden.</w:t>
      </w:r>
    </w:p>
    <w:p>
      <w:r>
        <w:rPr>
          <w:color w:val="555555"/>
          <w:sz w:val="17"/>
        </w:rPr>
        <w:t xml:space="preserve">Zitiervorschlag: § 21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