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1a KStG 1977 — Option zur Körperschaftsbesteuerung</w:t>
      </w:r>
    </w:p>
    <w:p>
      <w:r>
        <w:rPr>
          <w:color w:val="555555"/>
          <w:sz w:val="18"/>
        </w:rPr>
        <w:t xml:space="preserve">Körperschaftsteuergesetz</w:t>
      </w:r>
    </w:p>
    <w:p>
      <w:r>
        <w:rPr>
          <w:color w:val="555555"/>
          <w:sz w:val="18"/>
        </w:rPr>
        <w:t xml:space="preserve">Stand: 10.12.2024 (konsolidierte Textfassung, kein amtliches Inkrafttretensdatum)</w:t>
      </w:r>
    </w:p>
    <w:p>
      <w:r>
        <w:t xml:space="preserve">(1) 1Auf unwiderruflichen Antrag sind für Zwecke der Besteuerung nach dem Einkommen eine Personenhandelsgesellschaft, Partnerschaftsgesellschaft oder eingetragene Gesellschaft bürgerlichen Rechts wie eine Kapitalgesellschaft (optierende Gesellschaft) und ihre Gesellschafter wie die nicht persönlich haftenden Gesellschafter einer Kapitalgesellschaft zu behandeln; § 217 Absatz 1 des Umwandlungsgesetzes gilt sinngemäß. 2Der Antrag ist von der Personenhandelsgesellschaft, Partnerschaftsgesellschaft oder eingetragenen Gesellschaft bürgerlichen Rechts nach amtlich vorgeschriebenem Datensatz über die amtlich bestimmte Schnittstelle elektronisch bei dem für die gesonderte und einheitliche Feststellung der Einkünfte nach § 180 der Abgabenordnung zuständigen Finanzamt spätestens einen Monat vor Beginn des Wirtschaftsjahrs zu stellen, ab dem die Besteuerung wie eine Kapitalgesellschaft gelten soll; § 31 Absatz 1a Satz 2 gilt entsprechend. 3Erfolgt für die Personenhandelsgesellschaft, Partnerschaftsgesellschaft oder eingetragene Gesellschaft bürgerlichen Rechts keine gesonderte und einheitliche Feststellung der Einkünfte, ist der Antrag bei dem für die Einkommensteuer oder Körperschaftsteuer des Gesellschafters zuständigen Finanzamt zu stellen. 4Erzielt eine Personenhandelsgesellschaft, Partnerschaftsgesellschaft oder eingetragene Gesellschaft bürgerlichen Rechts ausschließlich Einkünfte, die dem Steuerabzug vom Kapitalertrag oder dem Steuerabzug auf Grund des § 50a des Einkommensteuergesetzes unterliegen und gilt infolgedessen die Einkommensteuer nach § 50 Absatz 2 Satz 1 des Einkommensteuergesetzes oder die Körperschaftsteuer nach § 32 Absatz 1 als abgegolten, ist der Antrag bei dem Bundeszentralamt für Steuern zu stellen. 5Hat die Gesellschaft ihren Sitz im Inland, ist der Antrag abweichend von den Sätzen 3 und 4 bei dem Finanzamt zu stellen, in dessen Bezirk die Gesellschaft ihren Sitz hat. 6Die Sätze 1 bis 5 finden keine Anwendung auf</w:t>
      </w:r>
    </w:p>
    <w:p>
      <w:pPr>
        <w:ind w:left="420"/>
      </w:pPr>
      <w:r>
        <w:t xml:space="preserve">1. Investmentfonds im Sinne des Investmentsteuergesetzes und</w:t>
      </w:r>
    </w:p>
    <w:p>
      <w:pPr>
        <w:ind w:left="420"/>
      </w:pPr>
      <w:r>
        <w:t xml:space="preserve">2. Gesellschaften, die nach Ausübung der Option in dem Staat, in dem sich ihre Geschäftsleitung befindet, keiner der deutschen unbeschränkten Körperschaftsteuerpflicht vergleichbaren Steuerpflicht unterliegen.</w:t>
      </w:r>
    </w:p>
    <w:p>
      <w:r>
        <w:t xml:space="preserve">7Abweichend von Satz 2 kann der Antrag im Fall</w:t>
      </w:r>
    </w:p>
    <w:p>
      <w:pPr>
        <w:ind w:left="420"/>
      </w:pPr>
      <w:r>
        <w:t xml:space="preserve">1. einer Neugründung bis zum Ablauf eines Monats nach Abschluss des Gesellschaftsvertrags,</w:t>
      </w:r>
    </w:p>
    <w:p>
      <w:pPr>
        <w:ind w:left="420"/>
      </w:pPr>
      <w:r>
        <w:t xml:space="preserve">2. eines Formwechsels einer Körperschaft in eine Personengesellschaft bis zum Ablauf eines Monats nach Anmeldung des Formwechsels beim zuständigen Register von der Körperschaft oder der Personengesellschaft</w:t>
      </w:r>
    </w:p>
    <w:p>
      <w:r>
        <w:t xml:space="preserve">mit Wirkung für das bereits laufende Wirtschaftsjahr gestellt werden.</w:t>
      </w:r>
    </w:p>
    <w:p>
      <w:r>
        <w:t xml:space="preserve">(2) 1Der Übergang zur Körperschaftsbesteuerung gilt als Formwechsel im Sinne des § 1 Absatz 3 Nummer 3 des Umwandlungssteuergesetzes. 2Die §§ 1 und 25 des Umwandlungssteuergesetzes sind entsprechend anzuwenden; dabei schließt allein die Zurückbehaltung der Beteiligung an einer Komplementärin der optierenden Gesellschaft die Anwendung des § 20 Absatz 2 des Umwandlungssteuergesetzes nicht aus. 3Als Einbringungszeitpunkt gilt das Ende des Wirtschaftsjahrs, das dem Wirtschaftsjahr im Sinne des Absatzes 1 Satz 2 unmittelbar vorangeht; § 9 Satz 3 des Umwandlungssteuergesetzes ist nicht anzuwenden. 4Das im Einbringungszeitpunkt in der Steuerbilanz auszuweisende Eigenkapital wird auf dem steuerlichen Einlagekonto der optierenden Gesellschaft erfasst. 5Die zur Vertretung der Gesellschaft ermächtigten Personen gelten als gesetzliche Vertreter der optierenden Gesellschaft.</w:t>
      </w:r>
    </w:p>
    <w:p>
      <w:r>
        <w:t xml:space="preserve">(3) 1Aufgrund der Option gilt die Beteiligung an einer optierenden Gesellschaft für Zwecke der Besteuerung nach dem Einkommen als Beteiligung eines nicht persönlich haftenden Gesellschafters an einer Kapitalgesellschaft. 2Beim Gesellschafter führen daher insbesondere</w:t>
      </w:r>
    </w:p>
    <w:p>
      <w:pPr>
        <w:ind w:left="420"/>
      </w:pPr>
      <w:r>
        <w:t xml:space="preserve">1. durch das Gesellschaftsverhältnis veranlasste Einnahmen zu Einkünften im Sinne des § 20 Absatz 1 Nummer 1 des Einkommensteuergesetzes,</w:t>
      </w:r>
    </w:p>
    <w:p>
      <w:pPr>
        <w:ind w:left="420"/>
      </w:pPr>
      <w:r>
        <w:t xml:space="preserve">2. Einnahmen, die er von der Gesellschaft für seine Tätigkeit im Dienst der Gesellschaft bezieht, zu Einkünften im Sinne des § 19 des Einkommensteuergesetzes,</w:t>
      </w:r>
    </w:p>
    <w:p>
      <w:pPr>
        <w:ind w:left="420"/>
      </w:pPr>
      <w:r>
        <w:t xml:space="preserve">3. Einnahmen aus der Hingabe von Darlehen zu Einkünften im Sinne des § 20 Absatz 1 Nummer 7 oder Absatz 2 Satz 1 Nummer 7 des Einkommensteuergesetzes und</w:t>
      </w:r>
    </w:p>
    <w:p>
      <w:pPr>
        <w:ind w:left="420"/>
      </w:pPr>
      <w:r>
        <w:t xml:space="preserve">4. Einnahmen aus der Überlassung von Wirtschaftsgütern zu Einkünften im Sinne des § 21 oder § 22 des Einkommensteuergesetzes.</w:t>
      </w:r>
    </w:p>
    <w:p>
      <w:r>
        <w:t xml:space="preserve">3Die §§ 13 bis 16, 18 und 35 des Einkommensteuergesetzes sind vorbehaltlich des Satzes 4 nicht anzuwenden. 4Soweit entsprechende Einnahmen bei einem Gesellschafter einer Kapitalgesellschaft anderen Einkunftsarten zuzurechnen wären, gilt abweichend von Satz 3, dass auch die Einnahmen des Gesellschafters der optierenden Gesellschaft zu diesen Einkünften gehören. 5Gewinnanteile gelten erst dann als ausgeschüttet, wenn sie entnommen werden. 6§ 4 Absatz 3 des Einkommensteuergesetzes ist bei einer optierenden Gesellschaft nicht anzuwenden. 7In den Fällen des Satzes 2 Nummer 2 gelten die optierende Gesellschaft als lohnsteuerlicher Arbeitgeber und der Gesellschafter als Arbeitnehmer.</w:t>
      </w:r>
    </w:p>
    <w:p>
      <w:r>
        <w:t xml:space="preserve">(4) 1Eine Gesellschaft, die nach Absatz 1 zur Körperschaftsbesteuerung optiert hat, kann beantragen, dass sie nicht mehr wie eine Kapitalgesellschaft und ihre Gesellschafter nicht mehr wie die nicht persönlich haftenden Gesellschafter einer Kapitalgesellschaft behandelt werden (Rückoption). 2Die Rückoption gilt als Formwechsel nach § 1 Absatz 1 Satz 1 Nummer 2 des Umwandlungssteuergesetzes mit der Maßgabe, dass § 9 Satz 3 des Umwandlungssteuergesetzes keine Anwendung findet. 3Absatz 1 Satz 2, 3 und 5 gilt mit der Maßgabe entsprechend, dass der Antrag bei dem für die Körperschaftsbesteuerung zuständigen Finanzamt zu stellen ist; in den Fällen des Absatzes 1 Satz 4 ist der Antrag bei dem Bundeszentralamt für Steuern zu stellen. 4Die Sätze 1 und 2 finden auch ohne Antrag Anwendung, wenn die Voraussetzungen des Absatzes 1 entfallen. 5Scheidet der vorletzte Gesellschafter aus der Gesellschaft aus, gilt die optierende Gesellschaft als unmittelbar danach aufgelöst und, sofern der verbleibende Gesellschafter die persönlichen Voraussetzungen eines übernehmenden Rechtsträgers einer Umwandlung einer Kapitalgesellschaft im Sinne des § 1 Absatz 1 Satz 1 Nummer 1 oder 4 des Umwandlungssteuergesetzes erfüllt, im Fall des § 1 Absatz 1 Satz 1 Nummer 1 des Umwandlungssteuergesetzes als auf den verbleibenden Gesellschafter verschmolzen beziehungsweise gilt im Fall des § 1 Absatz 1 Satz 1 Nummer 4 des Umwandlungssteuergesetzes das Vermögen der optierenden Gesellschaft als auf den verbleibenden Gesellschafter übertragen mit der Maßgabe, dass jeweils § 2 des Umwandlungssteuergesetzes keine Anwendung findet. 6Erfüllt der verbleibende Gesellschafter nicht die persönlichen Voraussetzungen eines übernehmenden Rechtsträgers einer Umwandlung einer Kapitalgesellschaft im Sinne des § 1 Absatz 1 Satz 1 Nummer 1 oder 4 des Umwandlungssteuergesetzes, gilt die optierende Gesellschaft als aufgelöst und ihr Vermögen als an die Gesellschafter ausgeschüttet; § 11 des Körperschaftsteuergesetzes ist entsprechend mit der Maßgabe anzuwenden, dass an die Stelle des zur Verteilung kommenden Vermögens der gemeine Wert des vorhandenen Vermögens tritt. 7Abweichend von Satz 4 gilt die Umwandlung der optierenden Gesellschaft in eine Körperschaft im Sinne des Umwandlungssteuergesetzes als Umwandlung einer Kapitalgesellschaft in eine Körperschaft.</w:t>
      </w:r>
    </w:p>
    <w:p>
      <w:r>
        <w:rPr>
          <w:color w:val="555555"/>
          <w:sz w:val="17"/>
        </w:rPr>
        <w:t xml:space="preserve">Zitiervorschlag: § 1a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