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KStG 1977 — Andere Kapitalgesellschaften als Organgesellschaft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1Die §§ 14 bis 16 gelten entsprechend, wenn eine andere als die in § 14 Absatz 1 Satz 1 bezeichnete Kapitalgesellschaft mit Geschäftsleitung im Inland und Sitz in einem Mitgliedstaat der Europäischen Union oder in einem Vertragsstaat des EWR-Abkommens sich wirksam verpflichtet, ihren ganzen Gewinn an ein anderes Unternehmen im Sinne des § 14 abzuführen. 2Weitere Voraussetzung ist, dass</w:t>
      </w:r>
    </w:p>
    <w:p>
      <w:pPr>
        <w:ind w:left="420"/>
      </w:pPr>
      <w:r>
        <w:t xml:space="preserve">1. eine Gewinnabführung den in § 301 des Aktiengesetzes genannten Betrag nicht überschreitet und</w:t>
      </w:r>
    </w:p>
    <w:p>
      <w:pPr>
        <w:ind w:left="420"/>
      </w:pPr>
      <w:r>
        <w:t xml:space="preserve">2. eine Verlustübernahme durch Verweis auf die Vorschriften des § 302 des Aktiengesetzes in seiner jeweils gültigen Fassung vereinbart wird.</w:t>
      </w:r>
    </w:p>
    <w:p>
      <w:r>
        <w:t xml:space="preserve">(2) Für die Anwendung des Absatzes 1 Satz 2 Nummer 2 gilt § 34 Absatz 10b in der Fassung des Artikels 12 des Gesetzes vom 18. Dezember 2013 (BGBl. I S. 4318) entsprechend fort.</w:t>
      </w:r>
    </w:p>
    <w:p>
      <w:r>
        <w:rPr>
          <w:color w:val="555555"/>
          <w:sz w:val="17"/>
        </w:rPr>
        <w:t xml:space="preserve">Zitiervorschlag: § 17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