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KStG 1977 — Aktiengesellschaft oder Kommanditgesellschaft auf Aktien als Organgesellschaft</w:t>
      </w:r>
    </w:p>
    <w:p>
      <w:r>
        <w:rPr>
          <w:color w:val="555555"/>
          <w:sz w:val="18"/>
        </w:rPr>
        <w:t xml:space="preserve">Körperschaftsteuergesetz</w:t>
      </w:r>
    </w:p>
    <w:p>
      <w:r>
        <w:rPr>
          <w:color w:val="555555"/>
          <w:sz w:val="18"/>
        </w:rPr>
        <w:t xml:space="preserve">Stand: 04.04.2024 (konsolidierte Textfassung, kein amtliches Inkrafttretensdatum)</w:t>
      </w:r>
    </w:p>
    <w:p>
      <w:r>
        <w:t xml:space="preserve">(1) 1Verpflichtet sich eine Europäische Gesellschaft, Aktiengesellschaft oder Kommanditgesellschaft auf Aktien mit Geschäftsleitung im Inland und Sitz in einem Mitgliedstaat der Europäischen Union oder in einem Vertragsstaat des EWR-Abkommens (Organgesellschaft) durch einen Gewinnabführungsvertrag im Sinne des § 291 Abs. 1 des Aktiengesetzes, ihren ganzen Gewinn an ein einziges anderes gewerbliches Unternehmen abzuführen, ist das Einkommen der Organgesellschaft, soweit sich aus § 16 nichts anderes ergibt, dem Träger des Unternehmens (Organträger) zuzurechnen, wenn die folgenden Voraussetzungen erfüllt sind:</w:t>
      </w:r>
    </w:p>
    <w:p>
      <w:pPr>
        <w:ind w:left="420"/>
      </w:pPr>
      <w:r>
        <w:t xml:space="preserve">1. 1Der Organträger muss an der Organgesellschaft vom Beginn ihres Wirtschaftsjahrs an ununterbrochen in einem solchen Maße beteiligt sein, dass ihm die Mehrheit der Stimmrechte aus den Anteilen an der Organgesellschaft zusteht (finanzielle Eingliederung). 2Mittelbare Beteiligungen sind zu berücksichtigen, wenn die Beteiligung an jeder vermittelnden Gesellschaft die Mehrheit der Stimmrechte gewährt. 3Satz 2 gilt nicht, wenn bereits die unmittelbare Beteiligung die Mehrheit der Stimmrechte gewährt.</w:t>
      </w:r>
    </w:p>
    <w:p>
      <w:pPr>
        <w:ind w:left="420"/>
      </w:pPr>
      <w:r>
        <w:t xml:space="preserve">2. 1Organträger muss eine natürliche Person oder eine nicht von der Körperschaftsteuer befreite Körperschaft, Personenvereinigung oder Vermögensmasse sein. 2Organträger kann auch eine Personengesellschaft im Sinne des § 15 Absatz 1 Satz 1 Nummer 2 des Einkommensteuergesetzes sein, wenn sie eine Tätigkeit im Sinne des § 15 Absatz 1 Satz 1 Nummer 1 des Einkommensteuergesetzes ausübt. 3Die Voraussetzung der Nummer 1 muss im Verhältnis zur Personengesellschaft selbst erfüllt sein. 4Die Beteiligung im Sinne der Nummer 1 an der Organgesellschaft oder, bei mittelbarer Beteiligung an der Organgesellschaft, die Beteiligung im Sinne der Nummer 1 an der vermittelnden Gesellschaft, muss ununterbrochen während der gesamten Dauer der Organschaft einer inländischen Betriebsstätte im Sinne des § 12 der Abgabenordnung des Organträgers zuzuordnen sein. 5Ist der Organträger mittelbar über eine oder mehrere Personengesellschaften an der Organgesellschaft beteiligt, gilt Satz 4 sinngemäß. 6Das Einkommen der Organgesellschaft ist der inländischen Betriebsstätte des Organträgers zuzurechnen, der die Beteiligung im Sinne der Nummer 1 an der Organgesellschaft oder, bei mittelbarer Beteiligung an der Organgesellschaft, die Beteiligung im Sinne der Nummer 1 an der vermittelnden Gesellschaft zuzuordnen ist. 7Eine inländische Betriebsstätte im Sinne der vorstehenden Sätze ist nur gegeben, wenn die dieser Betriebsstätte zuzurechnenden Einkünfte sowohl nach innerstaatlichem Steuerrecht als auch nach einem anzuwendenden Abkommen zur Vermeidung der Doppelbesteuerung der inländischen Besteuerung unterliegen.</w:t>
      </w:r>
    </w:p>
    <w:p>
      <w:pPr>
        <w:ind w:left="420"/>
      </w:pPr>
      <w:r>
        <w:t xml:space="preserve">3. 1Der Gewinnabführungsvertrag muss auf mindestens fünf Jahre abgeschlossen und während seiner gesamten Geltungsdauer durchgeführt werden. 2Eine vorzeitige Beendigung des Vertrags durch Kündigung ist unschädlich, wenn ein wichtiger Grund die Kündigung rechtfertigt. 3Die Kündigung oder Aufhebung des Gewinnabführungsvertrags auf einen Zeitpunkt während des Wirtschaftsjahrs der Organgesellschaft wirkt auf den Beginn dieses Wirtschaftsjahrs zurück. 4Der Gewinnabführungsvertrag gilt auch als durchgeführt, wenn der abgeführte Gewinn oder ausgeglichene Verlust auf einem Jahresabschluss beruht, der fehlerhafte Bilanzansätze enthält, sofern</w:t>
      </w:r>
    </w:p>
    <w:p>
      <w:pPr>
        <w:ind w:left="780"/>
      </w:pPr>
      <w:r>
        <w:t xml:space="preserve">a) der Jahresabschluss wirksam festgestellt ist,</w:t>
      </w:r>
    </w:p>
    <w:p>
      <w:pPr>
        <w:ind w:left="780"/>
      </w:pPr>
      <w:r>
        <w:t xml:space="preserve">b) die Fehlerhaftigkeit bei Erstellung des Jahresabschlusses unter Anwendung der Sorgfalt eines ordentlichen Kaufmanns nicht hätte erkannt werden müssen und</w:t>
      </w:r>
    </w:p>
    <w:p>
      <w:pPr>
        <w:ind w:left="780"/>
      </w:pPr>
      <w:r>
        <w:t xml:space="preserve">c) ein von der Finanzverwaltung beanstandeter Fehler spätestens in dem nächsten nach dem Zeitpunkt der Beanstandung des Fehlers aufzustellenden Jahresabschluss der Organgesellschaft und des Organträgers korrigiert und das Ergebnis entsprechend abgeführt oder ausgeglichen wird, soweit es sich um einen Fehler handelt, der in der Handelsbilanz zu korrigieren ist.</w:t>
      </w:r>
    </w:p>
    <w:p>
      <w:pPr>
        <w:ind w:left="420"/>
      </w:pPr>
      <w:r>
        <w:t xml:space="preserve">5Die Voraussetzung des Satzes 4 Buchstabe b gilt bei Vorliegen eines uneingeschränkten Bestätigungsvermerks nach § 322 Absatz 3 des Handelsgesetzbuchs zum Jahresabschluss, zu einem Konzernabschluss, in den der handelsrechtliche Jahresabschluss einbezogen worden ist, oder über die freiwillige Prüfung des Jahresabschlusses oder der Bescheinigung eines Steuerberaters oder Wirtschaftsprüfers über die Erstellung eines Jahresabschlusses mit umfassenden Beurteilungen als erfüllt.</w:t>
      </w:r>
    </w:p>
    <w:p>
      <w:pPr>
        <w:ind w:left="420"/>
      </w:pPr>
      <w:r>
        <w:t xml:space="preserve">4. Die Organgesellschaft darf Beträge aus dem Jahresüberschuss nur insoweit in die Gewinnrücklagen (§ 272 Abs. 3 des Handelsgesetzbuchs) mit Ausnahme der gesetzlichen Rücklagen einstellen, als dies bei vernünftiger kaufmännischer Beurteilung wirtschaftlich begründet ist.</w:t>
      </w:r>
    </w:p>
    <w:p>
      <w:pPr>
        <w:ind w:left="420"/>
      </w:pPr>
      <w:r>
        <w:t xml:space="preserve">5. (weggefallen)</w:t>
      </w:r>
    </w:p>
    <w:p>
      <w:r>
        <w:t xml:space="preserve">2Das Einkommen der Organgesellschaft ist dem Organträger erstmals für das Kalenderjahr zuzurechnen, in dem das Wirtschaftsjahr der Organgesellschaft endet, in dem der Gewinnabführungsvertrag wirksam wird.</w:t>
      </w:r>
    </w:p>
    <w:p>
      <w:r>
        <w:t xml:space="preserve">(2) 1Der ganze Gewinn gilt auch dann als abgeführt im Sinne des Absatzes 1 Satz 1, wenn über den mindestens zugesicherten Betrag im Sinne des § 304 Absatz 2 Satz 1 des Aktiengesetzes hinausgehende Ausgleichszahlungen vereinbart und geleistet werden. 2Dies gilt nur, wenn die Ausgleichszahlungen insgesamt den dem Anteil am gezeichneten Kapital entsprechenden Gewinnanteil des Wirtschaftsjahres nicht überschreiten, der ohne Gewinnabführungsvertrag hätte geleistet werden können. 3Der über den Mindestbetrag nach § 304 Absatz 2 Satz 1 des Aktiengesetzes hinausgehende Betrag muss nach vernünftiger kaufmännischer Beurteilung wirtschaftlich begründet sein.</w:t>
      </w:r>
    </w:p>
    <w:p>
      <w:r>
        <w:t xml:space="preserve">(3) 1Mehrabführungen, die ihre Ursache in vororganschaftlicher Zeit haben, gelten als Gewinnausschüttungen der Organgesellschaft an den Organträger. 2Minderabführungen, die ihre Ursache in vororganschaftlicher Zeit haben, sind als Einlage durch den Organträger in die Organgesellschaft zu behandeln. 3Mehrabführungen nach Satz 1 und Minderabführungen nach Satz 2 gelten in dem Zeitpunkt als erfolgt, in dem das Wirtschaftsjahr der Organgesellschaft endet. 4Der Teilwertansatz nach § 13 Abs. 3 Satz 1 ist der vororganschaftlichen Zeit zuzurechnen.</w:t>
      </w:r>
    </w:p>
    <w:p>
      <w:r>
        <w:t xml:space="preserve">(4) 1Minderabführungen der Organgesellschaft, die ihre Ursache in organschaftlicher Zeit haben, sind als Einlage durch den Organträger in die Organgesellschaft zu behandeln. 2Mehrabführungen der Organgesellschaft, die ihre Ursache in organschaftlicher Zeit haben, gelten als Einlagenrückgewähr der Organgesellschaft an den Organträger. 3Die Einlage erhöht und die Einlagenrückgewähr mindert den Buchwert der Beteiligung an der Organgesellschaft; dabei darf dieser nicht negativ werden. 4In den Fällen des Absatzes 1 Satz 1 Nummer 1 Satz 2 ist Satz 3 auf den Buchwert der Beteiligung an jeder vermittelnden Gesellschaft entsprechend anzuwenden. 5Soweit die Einlagenrückgewähr die Summe aus Buchwert und Einlage übersteigt, liegt ein Ertrag vor, auf den die Regelungen des § 8b Absatz 2, 3, 6, 7 und 8 dieses Gesetzes sowie § 3 Nummer 40 Buchstabe a und § 3c Absatz 2 des Einkommensteuergesetzes anzuwenden sind. 6Minder- oder Mehrabführungen im Sinne der Sätze 1 und 2 liegen insbesondere vor, wenn der an den Organträger abgeführte Gewinn von dem Steuerbilanzgewinn der Organgesellschaft abweicht und diese Abweichung in organschaftlicher Zeit verursacht ist. 7Minder- und Mehrabführungen nach den Sätzen 1 und 2 gelten in dem Zeitpunkt als erfolgt, in dem das Wirtschaftsjahr der Organgesellschaft endet.</w:t>
      </w:r>
    </w:p>
    <w:p>
      <w:r>
        <w:t xml:space="preserve">(5) 1Das dem Organträger zuzurechnende Einkommen der Organgesellschaft und damit zusammenhängende andere Besteuerungsgrundlagen werden gegenüber dem Organträger und der Organgesellschaft gesondert und einheitlich festgestellt. 2Die Feststellungen nach Satz 1 sind für die Besteuerung des Einkommens des Organträgers und der Organgesellschaft bindend. 3Die Sätze 1 und 2 gelten entsprechend für von der Organgesellschaft geleistete Steuern, die auf die Steuer des Organträgers anzurechnen sind. 4Zuständig für diese Feststellungen ist das Finanzamt, das für die Besteuerung nach dem Einkommen der Organgesellschaft zuständig ist. 5Die Erklärung zu den gesonderten und einheitlichen Feststellungen nach den Sätzen 1 und 3 soll mit der Körperschaftsteuererklärung der Organgesellschaft verbunden werden.</w:t>
      </w:r>
    </w:p>
    <w:p>
      <w:r>
        <w:rPr>
          <w:color w:val="555555"/>
          <w:sz w:val="17"/>
        </w:rPr>
        <w:t xml:space="preserve">Zitiervorschlag: § 14 KStG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https://recht.nulegal.eu/gesetze/KStG%201977/14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