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KStDV 1977 — Anwendungszeitraum</w:t>
      </w:r>
    </w:p>
    <w:p>
      <w:r>
        <w:rPr>
          <w:color w:val="555555"/>
          <w:sz w:val="18"/>
        </w:rPr>
        <w:t xml:space="preserve">Körperschaftsteuer-Durchführungsverordnung 1994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Körperschaftsteuer-Durchführungsverordnung in der am 1. Januar 2016 geltenden Fassung ist erstmals für den Veranlagungszeitraum 2016 anzuwenden.</w:t>
      </w:r>
    </w:p>
    <w:p>
      <w:r>
        <w:rPr>
          <w:color w:val="555555"/>
          <w:sz w:val="17"/>
        </w:rPr>
        <w:t xml:space="preserve">Zitiervorschlag: § 6 KStDV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https://recht.nulegal.eu/gesetze/KStDV%201977/6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