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KStDV 1977 — Kassen ohne Rechtsanspruch der Leistungsempfänger</w:t>
      </w:r>
    </w:p>
    <w:p>
      <w:r>
        <w:rPr>
          <w:color w:val="555555"/>
          <w:sz w:val="18"/>
        </w:rPr>
        <w:t xml:space="preserve">Körperschaftsteuer-Durchführungsverordnung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Rechtsfähige Unterstützungskassen, die den Leistungsempfängern keinen Rechtsanspruch gewähren, müssen die folgenden Voraussetzungen erfüllen:</w:t>
      </w:r>
    </w:p>
    <w:p>
      <w:pPr>
        <w:ind w:left="420"/>
      </w:pPr>
      <w:r>
        <w:t xml:space="preserve">1. Die Leistungsempfänger dürfen zu laufenden Beiträgen oder zu sonstigen Zuschüssen nicht verpflichtet sein.</w:t>
      </w:r>
    </w:p>
    <w:p>
      <w:pPr>
        <w:ind w:left="420"/>
      </w:pPr>
      <w:r>
        <w:t xml:space="preserve">2. Den Leistungsempfängern oder den Arbeitnehmervertretungen des Betriebs oder der Dienststelle muß satzungsgemäß und tatsächlich das Recht zustehen, an der Verwaltung sämtlicher Beträge, die der Kasse zufließen, beratend mitzuwirken.</w:t>
      </w:r>
    </w:p>
    <w:p>
      <w:pPr>
        <w:ind w:left="420"/>
      </w:pPr>
      <w:r>
        <w:t xml:space="preserve">3. Die laufenden Leistungen und das Sterbegeld dürfen die in § 2 bezeichneten Beträge nicht übersteigen.</w:t>
      </w:r>
    </w:p>
    <w:p>
      <w:r>
        <w:rPr>
          <w:color w:val="555555"/>
          <w:sz w:val="17"/>
        </w:rPr>
        <w:t xml:space="preserve">Zitiervorschlag: § 3 KStDV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https://recht.nulegal.eu/gesetze/KStDV%201977/3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