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KStDV 1977 — Allgemeines</w:t>
      </w:r>
    </w:p>
    <w:p>
      <w:r>
        <w:rPr>
          <w:color w:val="555555"/>
          <w:sz w:val="18"/>
        </w:rPr>
        <w:t xml:space="preserve">Körperschaftsteuer-Durchführungsverordnung 1994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Rechtsfähige Pensions-, Sterbe-, Kranken- und Unterstützungskassen sind nur dann eine soziale Einrichtung im Sinne des § 5 Abs. 1 Nr. 3 Buchstabe b des Gesetzes, wenn sie die folgenden Voraussetzungen erfüllen:</w:t>
      </w:r>
    </w:p>
    <w:p>
      <w:pPr>
        <w:ind w:left="420"/>
      </w:pPr>
      <w:r>
        <w:t xml:space="preserve">1. Die Leistungsempfänger dürfen sich in der Mehrzahl nicht aus dem Unternehmer oder dessen Angehörigen und bei Gesellschaften in der Mehrzahl nicht aus den Gesellschaftern oder deren Angehörigen zusammensetzen.</w:t>
      </w:r>
    </w:p>
    <w:p>
      <w:pPr>
        <w:ind w:left="420"/>
      </w:pPr>
      <w:r>
        <w:t xml:space="preserve">2. Bei Auflösung der Kasse darf ihr Vermögen vorbehaltlich der Regelung in § 6 des Gesetzes satzungsmäßig nur den Leistungsempfängern oder deren Angehörigen zugute kommen oder für ausschließlich gemeinnützige oder mildtätige Zwecke verwendet werden.</w:t>
      </w:r>
    </w:p>
    <w:p>
      <w:pPr>
        <w:ind w:left="420"/>
      </w:pPr>
      <w:r>
        <w:t xml:space="preserve">3. Außerdem müssen bei Kassen mit Rechtsanspruch der Leistungsempfänger die Voraussetzungen des § 2, bei Kassen ohne Rechtsanspruch der Leistungsempfänger die Voraussetzungen des § 3 erfüllt sein.</w:t>
      </w:r>
    </w:p>
    <w:p>
      <w:r>
        <w:rPr>
          <w:color w:val="555555"/>
          <w:sz w:val="17"/>
        </w:rPr>
        <w:t xml:space="preserve">Zitiervorschlag: § 1 KStDV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https://recht.nulegal.eu/gesetze/KStDV%201977/1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