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KSpG — Planfeststellungsverfahren und Plangenehmigungsverfahren für Kohlendioxidleitungen</w:t>
      </w:r>
    </w:p>
    <w:p>
      <w:r>
        <w:rPr>
          <w:color w:val="555555"/>
          <w:sz w:val="18"/>
        </w:rPr>
        <w:t xml:space="preserve">Kohlendioxid-Speicherung-und-Transport-Gesetz</w:t>
      </w:r>
    </w:p>
    <w:p>
      <w:r>
        <w:rPr>
          <w:color w:val="555555"/>
          <w:sz w:val="18"/>
        </w:rPr>
        <w:t xml:space="preserve">Stand: 14.03.2026 (konsolidierte Textfassung, kein amtliches Inkrafttretensdatum)</w:t>
      </w:r>
    </w:p>
    <w:p>
      <w:r>
        <w:t xml:space="preserve">(1) Für das Planfeststellungsverfahren gelten die §§ 72 bis 78 des Verwaltungsverfahrensgesetzes. Dabei sind die folgenden Maßgaben und Vorschriften entsprechend anzuwenden:</w:t>
      </w:r>
    </w:p>
    <w:p>
      <w:pPr>
        <w:ind w:left="420"/>
      </w:pPr>
      <w:r>
        <w:t xml:space="preserve">1. die Maßgaben des § 43a Satz 1 des Energiewirtschaftsgesetzes für das Anhörungsverfahren,</w:t>
      </w:r>
    </w:p>
    <w:p>
      <w:pPr>
        <w:ind w:left="420"/>
      </w:pPr>
      <w:r>
        <w:t xml:space="preserve">2. die Maßgaben des § 43b Absatz 1 Nummer 2 und 3 des Energiewirtschaftsgesetzes für Abstimmungserfordernisse zwischen Behörden sowie zur Zustellung und Bekanntgabe,</w:t>
      </w:r>
    </w:p>
    <w:p>
      <w:pPr>
        <w:ind w:left="420"/>
      </w:pPr>
      <w:r>
        <w:t xml:space="preserve">3. die Maßgaben des § 43c des Energiewirtschaftsgesetzes über die Rechtswirkungen der Planfeststellung und Plangenehmigung,</w:t>
      </w:r>
    </w:p>
    <w:p>
      <w:pPr>
        <w:ind w:left="420"/>
      </w:pPr>
      <w:r>
        <w:t xml:space="preserve">4. die Maßgaben des § 43d des Energiewirtschaftsgesetzes für die Planergänzung und das ergänzende Verfahren im Sinne des § 75 Absatz 1a Satz 2 des Verwaltungsverfahrensgesetzes und für die Planänderung vor Fertigstellung des Vorhabens,</w:t>
      </w:r>
    </w:p>
    <w:p>
      <w:pPr>
        <w:ind w:left="420"/>
      </w:pPr>
      <w:r>
        <w:t xml:space="preserve">5. § 43f Absatz 1 Satz 1 und 2 Nummer 1 erste Alternative, Nummer 2 und 3 und Absatz 4 des Energiewirtschaftsgesetzes über Änderungen oder Erweiterungen im Anzeigeverfahren,</w:t>
      </w:r>
    </w:p>
    <w:p>
      <w:pPr>
        <w:ind w:left="420"/>
      </w:pPr>
      <w:r>
        <w:t xml:space="preserve">6. § 43g des Energiewirtschaftsgesetzes über die Beauftragung eines Projektmanagers,</w:t>
      </w:r>
    </w:p>
    <w:p>
      <w:pPr>
        <w:ind w:left="420"/>
      </w:pPr>
      <w:r>
        <w:t xml:space="preserve">7. § 43i des Energiewirtschaftsgesetzes über die Überwachung eines Vorhabens,</w:t>
      </w:r>
    </w:p>
    <w:p>
      <w:pPr>
        <w:ind w:left="420"/>
      </w:pPr>
      <w:r>
        <w:t xml:space="preserve">8. § 43j des Energiewirtschaftsgesetzes über die Verlegung von Leerrohren,</w:t>
      </w:r>
    </w:p>
    <w:p>
      <w:pPr>
        <w:ind w:left="420"/>
      </w:pPr>
      <w:r>
        <w:t xml:space="preserve">9. § 43k des Energiewirtschaftsgesetzes über die Zurverfügungstellung von Geodaten,</w:t>
      </w:r>
    </w:p>
    <w:p>
      <w:pPr>
        <w:ind w:left="420"/>
      </w:pPr>
      <w:r>
        <w:t xml:space="preserve">10. die §§ 45a und 45b des Energiewirtschaftsgesetzes über das Entschädigungsverfahren sowie die Parallelführung von Planfeststellungs- und Enteignungsverfahren.</w:t>
      </w:r>
    </w:p>
    <w:p>
      <w:r>
        <w:t xml:space="preserve">(2) Behördliche Zulassungen für die Errichtung, die Änderung und den Betrieb von Gas-, Wasserstoff- und Produktleitungen einschließlich der für den Betrieb notwendigen Anlagen, soweit sie in ein Planfeststellungsverfahren integriert wurden und keine nach dem Bundes-Immissionsschutzgesetz genehmigungsbedürftigen Anlagen sind, gelten auch als Zulassung für den Transport von Kohlendioxid. Satz 1 ist auch für Gas-, Wasserstoff- und Produktleitungen anzuwenden, für die zum Zeitpunkt der Errichtung ein Anzeigenvorbehalt bestand. Die anlagenbezogenen Regelungen des Bundes-Immissionsschutzgesetzes bleiben unberührt. § 113c Absatz 3 des Energiewirtschaftsgesetzes ist entsprechend anzuwenden. Fernleitungsnetzbetreiber können im Rahmen des nach § 15c des Energiewirtschaftsgesetzes zu erstellenden Netzentwicklungsplans Gas und Wasserstoff Gasversorgungsleitungen kenntlich machen, die perspektivisch auf eine Kohlendioxidleitung umgestellt werden können. § 113b Satz 2 und 3 des Energiewirtschaftsgesetzes ist entsprechend anzuwenden. Der in § 35 Absatz 1 Nummer 3 des Baugesetzbuches verwendete Begriff des Gases sowie der in § 1 Satz 1 Nummer 14 der Raumordnungsverordnung genannte Begriff der Gasleitungen umfassen auch Kohlendioxidleitungen.</w:t>
      </w:r>
    </w:p>
    <w:p>
      <w:r>
        <w:t xml:space="preserve">(3) Auf Vorarbeiten, Veränderungssperren, Vorkaufsrechte, vorzeitige Besitzeinweisungen und die Zulassung des vorzeitigen Baubeginns sind die §§ 44, 44a Absatz 1 und 2 Satz 1 bis 3 und Absatz 3 sowie die §§ 44b und 44c Absatz 1 Satz 1, 3 bis 6, Absatz 2 bis 4 des Energiewirtschaftsgesetzes entsprechend anzuwenden, soweit sie auch auf Gasversorgungsleitungen nach § 43 Absatz 1 Nummer 5 des Energiewirtschaftsgesetzes anwendbar sind. Für Anforderungen an Kohlendioxidleitungen ist § 49 Absatz 1 und 2 Satz 1 Nummer 2, Absatz 3, 5 und 6 Satz 1 und Absatz 7 des Energiewirtschaftsgesetzes entsprechend anzuwenden. Für die nach § 49 Absatz 6 Satz 1 des Energiewirtschaftsgesetzes in Verbindung mit Satz 2 zur Auskunft verpflichtete Person gilt § 55 der Strafprozessordnung entsprechend. Für den Transport von Bestandteilen von Kohlendioxidnetzen oder Hilfsmitteln zur Errichtung, Instandhaltung oder zum Betrieb von Kohlendioxidnetzen ist § 48a des Energiewirtschaftsgesetzes entsprechend anzuwenden.</w:t>
      </w:r>
    </w:p>
    <w:p>
      <w:r>
        <w:t xml:space="preserve">(4) Der Planfeststellungsbeschluss und die Plangenehmigung können mit Auflagen verbunden werden, soweit dies erforderlich ist, um das Wohl der Allgemeinheit zu wahren oder öffentlich-rechtliche Vorschriften zu erfüllen. Auflagen über Anforderungen an das Vorhaben können auch nach der Planfeststellung oder Plangenehmigung aufgenommen, geändert oder ergänzt werden.</w:t>
      </w:r>
    </w:p>
    <w:p>
      <w:r>
        <w:t xml:space="preserve">(5) Für Vorhaben der Errichtung, des Betriebs sowie der Änderung von Kohlendioxidleitungen sollen die beteiligten Behörden den Planfeststellungsverfahren und Plangenehmigungsverfahren Vorrang bei der Bearbeitung einräumen. Dabei ist das Beschleunigungsinteresse anderer Vorhaben, die im überragenden öffentlichen Interesse liegen, zu beachten.</w:t>
      </w:r>
    </w:p>
    <w:p>
      <w:r>
        <w:rPr>
          <w:color w:val="555555"/>
          <w:sz w:val="17"/>
        </w:rPr>
        <w:t xml:space="preserve">Zitiervorschlag: § 4a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