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KSpG — Übergangsvorschrift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(1) Bereits begonnene Verfahren auf Erteilung einer Erlaubnis nach § 7 des Bundesberggesetzes, die sich auf die Aufsuchung von Bodenschätzen, insbesondere von Sole, in potenziellen Speicherkomplexen beziehen, können nach § 7 dieses Gesetzes weitergeführt werden, wenn dies beantragt wird und die hierfür erforderlichen Antragsunterlagen vorgelegt werden.</w:t>
      </w:r>
    </w:p>
    <w:p>
      <w:r>
        <w:t xml:space="preserve">(2) Untersuchungsergebnisse, die im Rahmen von Aufsuchungsarbeiten nach § 7 des Bundesberggesetzes erzielt wurden, können für die Untersuchungsgenehmigung nach § 7 dieses Gesetzes verwendet werden. Die zuständige Behörde soll von der Prüfung einzelner Voraussetzungen nach § 7 absehen, soweit deren Vorliegen bereits in einem Verfahren auf Erteilung einer Erlaubnis nach § 7 des Bundesberggesetzes und eines Betriebsplans nach § 51 Absatz 1 des Bundesberggesetzes zur Aufsuchung der in Absatz 1 genannten Bodenschätze nachgewiesen wurde und der Antragsteller dies innerhalb eines Jahres nach Inkrafttreten des Gesetzes beantragt.</w:t>
      </w:r>
    </w:p>
    <w:p>
      <w:r>
        <w:t xml:space="preserve">(3) Die erforderlichen Angaben nach § 20 Absatz 1 Satz 2 ergeben sich aus den Bestimmungen der Entscheidung der Kommission 2007/589/EG vom 18. Juli 2007 zur Festlegung von Leitlinien für die Überwachung und Berichterstattung betreffend Treibhausgasemissionen im Sinne der Richtlinie 2003/87/EG des Europäischen Parlaments und des Rates (Monitoring-Leitlinien) (ABl. L 229 vom 31.8.2007, S. 1), die durch den Beschluss 2010/345/EU (ABl. L 155 vom 22.6.2010, S. 34) geändert worden ist. Ab dem Inkrafttreten der Verordnung der Kommission gemäß Artikel 14 Absatz 1 der Richtlinie 2003/87/EG des Europäischen Parlaments und des Rates vom 13. Oktober 2003 über ein System für den Handel mit Treibhausgasemissionszertifikaten in der Gemeinschaft und zur Änderung der Richtlinie 96/61/EG des Rates (ABl. L 275 vom 25.10.2003, S. 32), die zuletzt durch die Richtlinie 2009/29/EG (ABl. L 140 vom 5.6.2009, S. 63) geändert worden ist, sind die Bestimmungen dieser Verordnung der Kommission an Stelle der Bestimmungen der Monitoring-Leitlinien maßgeblich.</w:t>
      </w:r>
    </w:p>
    <w:p>
      <w:r>
        <w:t xml:space="preserve">(4) Kapitel 6 gilt nicht für Forschungsspeicher, die vor dem 24. August 2012 bereits nach anderen Rechtsvorschriften zugelassen worden sind.</w:t>
      </w:r>
    </w:p>
    <w:p>
      <w:r>
        <w:rPr>
          <w:color w:val="555555"/>
          <w:sz w:val="17"/>
        </w:rPr>
        <w:t xml:space="preserve">Zitiervorschlag: § 45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