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KSpG — Anwendung von Vorschriften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28.11.2025 (konsolidierte Textfassung, kein amtliches Inkrafttretensdatum)</w:t>
      </w:r>
    </w:p>
    <w:p>
      <w:r>
        <w:t xml:space="preserve">(1) § 11 Absatz 1 und 2, die §§ 14, 15, 19 Satz 4, § 20 Absatz 1 Satz 2 sowie § 30 Absatz 1 Nummer 3 finden für Forschungsspeicher und die Untersuchung des Untergrundes auf seine Eignung zur Errichtung von Forschungsspeichern keine Anwendung.</w:t>
      </w:r>
    </w:p>
    <w:p>
      <w:r>
        <w:t xml:space="preserve">(2) Bei der Anwendung von § 7 Absatz 3, § 19 Satz 3, § 21 Absatz 1, § 23 Absatz 1 Nummer 2, § 28 Absatz 4 Satz 3 und § 31 sowie beim Erlass von Rechtsverordnungen nach den §§ 25, 26, 32 und 33 sind die Belange der Forschung zu berücksichtigen. § 17 Absatz 5 gilt mit der Maßgabe, dass der Betreiber auch dann verpflichtet ist, den Forschungsspeicher stillzulegen, wenn die Arbeiten zum genehmigten Zweck der Forschung abgeschlossen sind; die Forschungsergebnisse sind der Bundesanstalt für Geowissenschaften und Rohstoffe und dem Umweltbundesamt zur Verfügung zu stellen.</w:t>
      </w:r>
    </w:p>
    <w:p>
      <w:r>
        <w:rPr>
          <w:color w:val="555555"/>
          <w:sz w:val="17"/>
        </w:rPr>
        <w:t xml:space="preserve">Zitiervorschlag: § 38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