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KSpG — Genehmigung von Forschungsspeichern</w:t>
      </w:r>
    </w:p>
    <w:p>
      <w:r>
        <w:rPr>
          <w:color w:val="555555"/>
          <w:sz w:val="18"/>
        </w:rPr>
        <w:t xml:space="preserve">Kohlendioxid-Speicherung-und-Transport-Gesetz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Errichtung, Betrieb und wesentliche Änderung eines Forschungsspeichers oder die Änderung des Forschungszwecks bedürfen einer Genehmigung durch die zuständige Behörde. Die Genehmigung ist zu erteilen, wenn die Voraussetzungen nach § 13 Absatz 1 Satz 1 Nummer 1 bis 8 und Satz 2 erfüllt sind. Antrag und Genehmigung müssen die Bezeichnung des Forschungszwecks enthalten.</w:t>
      </w:r>
    </w:p>
    <w:p>
      <w:r>
        <w:t xml:space="preserve">(2) Die zuständige Behörde kann im Einzelfall auf Antrag von der Pflicht befreien, die Voraussetzungen aus § 13 Absatz 1 Satz 1 Nummer 2, 4 bis 6 zu erfüllen, soweit der Zweck der Forschung</w:t>
      </w:r>
    </w:p>
    <w:p>
      <w:pPr>
        <w:ind w:left="420"/>
      </w:pPr>
      <w:r>
        <w:t xml:space="preserve">1. die Langzeitsicherheit von Kohlendioxidspeichern,</w:t>
      </w:r>
    </w:p>
    <w:p>
      <w:pPr>
        <w:ind w:left="420"/>
      </w:pPr>
      <w:r>
        <w:t xml:space="preserve">2. die Vorsorge gegen Beeinträchtigungen von Mensch und Umwelt durch Kohlendioxidspeicher oder</w:t>
      </w:r>
    </w:p>
    <w:p>
      <w:pPr>
        <w:ind w:left="420"/>
      </w:pPr>
      <w:r>
        <w:t xml:space="preserve">3. die Sicherheit der Injektionsanlagen</w:t>
      </w:r>
    </w:p>
    <w:p>
      <w:r>
        <w:t xml:space="preserve">ist und soweit dieser Zweck anders nicht erreicht werden kann. Eine Befreiung ist nur zulässig, wenn Gefahren für Mensch und Umwelt nicht hervorgerufen werden können.</w:t>
      </w:r>
    </w:p>
    <w:p>
      <w:r>
        <w:rPr>
          <w:color w:val="555555"/>
          <w:sz w:val="17"/>
        </w:rPr>
        <w:t xml:space="preserve">Zitiervorschlag: § 37 KSpG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https://recht.nulegal.eu/gesetze/KSpG/37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