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KSpG — Deckungsvorsorge</w:t>
      </w:r>
    </w:p>
    <w:p>
      <w:r>
        <w:rPr>
          <w:color w:val="555555"/>
          <w:sz w:val="18"/>
        </w:rPr>
        <w:t xml:space="preserve">Kohlendioxid-Speicherung-und-Transport-Gesetz</w:t>
      </w:r>
    </w:p>
    <w:p>
      <w:r>
        <w:rPr>
          <w:color w:val="555555"/>
          <w:sz w:val="18"/>
        </w:rPr>
        <w:t xml:space="preserve">Stand: 13.04.2025 (konsolidierte Textfassung, kein amtliches Inkrafttretensdatum)</w:t>
      </w:r>
    </w:p>
    <w:p>
      <w:r>
        <w:t xml:space="preserve">(1) Der Betreiber eines Kohlendioxidspeichers ist verpflichtet, zur Erfüllung</w:t>
      </w:r>
    </w:p>
    <w:p>
      <w:pPr>
        <w:ind w:left="420"/>
      </w:pPr>
      <w:r>
        <w:t xml:space="preserve">1. der sich aus diesem Gesetz ergebenden Pflichten, einschließlich der Pflichten zur Stilllegung und Nachsorge,</w:t>
      </w:r>
    </w:p>
    <w:p>
      <w:pPr>
        <w:ind w:left="420"/>
      </w:pPr>
      <w:r>
        <w:t xml:space="preserve">2. gesetzlicher Schadensersatzansprüche,</w:t>
      </w:r>
    </w:p>
    <w:p>
      <w:pPr>
        <w:ind w:left="420"/>
      </w:pPr>
      <w:r>
        <w:t xml:space="preserve">3. der sich aus dem Treibhausgas-Emissionshandelsgesetz ergebenden Pflichten und</w:t>
      </w:r>
    </w:p>
    <w:p>
      <w:pPr>
        <w:ind w:left="420"/>
      </w:pPr>
      <w:r>
        <w:t xml:space="preserve">4. der sich aus den §§ 5, 6 und 9 des Umweltschadensgesetzes ergebenden Pflichten</w:t>
      </w:r>
    </w:p>
    <w:p>
      <w:r>
        <w:t xml:space="preserve">Vorsorge (Deckungsvorsorge) bis zum Zeitpunkt der Übertragung der Verantwortung nach § 31 zu treffen.</w:t>
      </w:r>
    </w:p>
    <w:p>
      <w:r>
        <w:t xml:space="preserve">(2) Die zuständige Behörde setzt die Art und die Höhe der Deckungsvorsorge, die jeweiligen Nachweise hierüber sowie den Zeitpunkt, zu dem die Deckungsvorsorge zu treffen ist, fest. Die Festsetzung muss gewährleisten, dass die Deckungsvorsorge immer in der festgesetzten Art und Höhe zur Verfügung steht sowie unverzüglich zur Erfüllung der Verpflichtungen nach Absatz 1, auch in den Fällen des § 16 Absatz 2 und 3 sowie des § 31 Absatz 2 Satz 3, herangezogen werden kann. Bei der Bemessung der Deckungsvorsorge zur Erfüllung der Pflichten und Ansprüche nach Absatz 1 Nummer 1, 2 und 4 sind gegebenenfalls zu besorgende erhebliche Unregelmäßigkeiten zu berücksichtigen. Maßstab für die Deckungsvorsorge zur Erfüllung der Pflichten nach Absatz 1 Nummer 3 ist die für das jeweils nächste Betriebsjahr prognostizierte Speichermenge; hierbei ist die Risikoprognose für etwaige Leckagen zu berücksichtigen. Die Deckungsvorsorge ist von der zuständigen Behörde jährlich anzupassen.</w:t>
      </w:r>
    </w:p>
    <w:p>
      <w:r>
        <w:t xml:space="preserve">(3) Die Deckungsvorsorge kann erbracht werden durch</w:t>
      </w:r>
    </w:p>
    <w:p>
      <w:pPr>
        <w:ind w:left="420"/>
      </w:pPr>
      <w:r>
        <w:t xml:space="preserve">1. eine Haftpflichtversicherung bei einem im Geltungsbereich dieses Gesetzes zum Geschäftsbetrieb befugten Versicherungsunternehmen oder</w:t>
      </w:r>
    </w:p>
    <w:p>
      <w:pPr>
        <w:ind w:left="420"/>
      </w:pPr>
      <w:r>
        <w:t xml:space="preserve">2. die Leistung von Sicherheiten nach § 232 des Bürgerlichen Gesetzbuchs, die Stellung eines tauglichen Bürgen nach § 239 des Bürgerlichen Gesetzbuchs oder ein anderes gleichwertiges Sicherungsmittel.</w:t>
      </w:r>
    </w:p>
    <w:p>
      <w:r>
        <w:t xml:space="preserve">Die zuständige Behörde kann bestimmen und zulassen, dass die Vorsorgemaßnahmen verbunden werden, soweit die Wirksamkeit und die Übersichtlichkeit der Deckungsvorsorge nicht beeinträchtigt werden. Der Betreiber ist verpflichtet, der Behörde die Deckungsvorsorge auf Verlangen, mindestens jedoch jährlich, nachzuweisen.</w:t>
      </w:r>
    </w:p>
    <w:p>
      <w:r>
        <w:t xml:space="preserve">(4) Für den Nachsorgebeitrag nach § 31 Absatz 2 Satz 1 sind im Rahmen der Deckungsvorsorge nach Absatz 1 3 Prozent des durchschnittlichen Wertes der Anzahl der Berechtigungen nach § 3 Nummer 3 des Treibhausgas-Emissionshandelsgesetzes, die der im Betriebsjahr gespeicherten Menge Kohlendioxid entspricht, jeweils zum Jahresende bei der zuständigen Behörde als Sicherheit in Geld zu leisten. Das geleistete Geld ist nach Maßgabe des § 1841 Absatz 2 und des § 1842 des Bürgerlichen Gesetzbuchs verzinslich anzulegen; die Zinsen werden zusätzlich zum Betrag nach Satz 1 Teil der Sicherheit. Das Geld steht für die Erfüllung der anderen in Absatz 1 genannten Pflichten und Ansprüche nachrangig zur Verfügung und ist vom Betreiber unverzüglich zu ersetzen, soweit es in Anspruch genommen wird.</w:t>
      </w:r>
    </w:p>
    <w:p>
      <w:r>
        <w:rPr>
          <w:color w:val="555555"/>
          <w:sz w:val="17"/>
        </w:rPr>
        <w:t xml:space="preserve">Zitiervorschlag: § 30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