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KSpG — Überprüfung durch die zuständige Behörde</w:t>
      </w:r>
    </w:p>
    <w:p>
      <w:r>
        <w:rPr>
          <w:color w:val="555555"/>
          <w:sz w:val="18"/>
        </w:rPr>
        <w:t xml:space="preserve">Kohlendioxid-Speicherung-und-Transport-Gesetz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hat zu prüfen, ob die Aufnahme, Änderung oder Ergänzung von Auflagen oder ein Widerruf erforderlich ist,</w:t>
      </w:r>
    </w:p>
    <w:p>
      <w:pPr>
        <w:ind w:left="420"/>
      </w:pPr>
      <w:r>
        <w:t xml:space="preserve">1. sobald sie Kenntnis von Leckagen oder erheblichen Unregelmäßigkeiten erhält,</w:t>
      </w:r>
    </w:p>
    <w:p>
      <w:pPr>
        <w:ind w:left="420"/>
      </w:pPr>
      <w:r>
        <w:t xml:space="preserve">2. wenn der Verdacht besteht, dass der Betreiber gegen Vorschriften dieses Gesetzes, gegen auf Grund dieses Gesetzes erlassene Rechtsverordnungen oder Zulassungen oder gegen nachträgliche Auflagen verstoßen hat, oder</w:t>
      </w:r>
    </w:p>
    <w:p>
      <w:pPr>
        <w:ind w:left="420"/>
      </w:pPr>
      <w:r>
        <w:t xml:space="preserve">3. wenn es auf Grund des Standes der Technik oder auf Grund neuer wissenschaftlicher Erkenntnisse, welche für Mensch und Umwelt bedeutsam sind, geboten erscheint.</w:t>
      </w:r>
    </w:p>
    <w:p>
      <w:r>
        <w:t xml:space="preserve">Unabhängig von Satz 1 hat eine solche Überprüfung mindestens im Abstand von fünf Jahren zu erfolgen.</w:t>
      </w:r>
    </w:p>
    <w:p>
      <w:r>
        <w:rPr>
          <w:color w:val="555555"/>
          <w:sz w:val="17"/>
        </w:rPr>
        <w:t xml:space="preserve">Zitiervorschlag: § 27 KSpG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https://recht.nulegal.eu/gesetze/KSpG/27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