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KSpG — Anforderungen an Kohlendioxidströme</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Ein Kohlendioxidstrom darf nur dann angenommen und in einen Kohlendioxidspeicher injiziert werden, wenn</w:t>
      </w:r>
    </w:p>
    <w:p>
      <w:pPr>
        <w:ind w:left="420"/>
      </w:pPr>
      <w:r>
        <w:t xml:space="preserve">1. er ganz überwiegend aus Kohlendioxid besteht und der Anteil an Kohlendioxid so hoch ist, wie dies nach dem Stand der Technik bei der jeweiligen Art der Anlage mit verhältnismäßigem Aufwand erreichbar ist,</w:t>
      </w:r>
    </w:p>
    <w:p>
      <w:pPr>
        <w:ind w:left="420"/>
      </w:pPr>
      <w:r>
        <w:t xml:space="preserve">2. er als Nebenbestandteile außer Stoffen zur Erhöhung der Sicherheit und Verbesserung der Überwachung nur zwangsläufige Beimengungen von Stoffen enthält, die aus dem Ausgangsmaterial sowie aus den für die Abscheidung, die Aufbereitung, den Transport und die dauerhafte Speicherung angewandten Verfahren stammen,</w:t>
      </w:r>
    </w:p>
    <w:p>
      <w:pPr>
        <w:ind w:left="420"/>
      </w:pPr>
      <w:r>
        <w:t xml:space="preserve">3. Beeinträchtigungen von Mensch und Umwelt, der Langzeitsicherheit des Kohlendioxidspeichers und der Sicherheit von Injektions- und Transportanlagen durch die in Nummer 2 genannten Stoffe ausgeschlossen sind sowie</w:t>
      </w:r>
    </w:p>
    <w:p>
      <w:pPr>
        <w:ind w:left="420"/>
      </w:pPr>
      <w:r>
        <w:t xml:space="preserve">4. er keine Abfälle oder sonstigen Stoffe zum Zweck der Entsorgung enthält.</w:t>
      </w:r>
    </w:p>
    <w:p>
      <w:r>
        <w:t xml:space="preserve">(2) Zur Sicherstellung der Anforderungen nach Absatz 1 ist der Betreiber verpflichtet, die Zusammensetzung des Kohlendioxidstroms vor der dauerhaften Speicherung kontinuierlich zu überwachen und die Zusammensetzung der zuständigen Behörde regelmäßig, mindestens jedoch alle sechs Monate, nachzuweisen. Dabei sind insbesondere die Herkunft des Kohlendioxidstroms und die Namen der Betriebe anzugeben, in denen das Kohlendioxid oder Teile von diesem abgeschieden wurden. Der Betreiber hat durch eine Risikobewertung nachzuweisen, dass die in Absatz 1 Nummer 2 bis 4 genannten Voraussetzungen erfüllt werden.</w:t>
      </w:r>
    </w:p>
    <w:p>
      <w:r>
        <w:t xml:space="preserve">(3) Der Betreiber hat ein Betriebstagebuch zu führen, das Informationen über die Mengen und Eigenschaften, die Zusammensetzung und den Ursprung des Kohlendioxidstroms, einschließlich der Namen und Adressen der Betriebe, in denen das Kohlendioxid abgeschieden wurde, sowie über den Transport des Kohlendioxids, einschließlich der zum Transport genutzten Kohlendioxidleitungen und deren Betreiber, enthält.</w:t>
      </w:r>
    </w:p>
    <w:p>
      <w:r>
        <w:rPr>
          <w:color w:val="555555"/>
          <w:sz w:val="17"/>
        </w:rPr>
        <w:t xml:space="preserve">Zitiervorschlag: § 24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