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KSpG — Eigenüberwachung</w:t>
      </w:r>
    </w:p>
    <w:p>
      <w:r>
        <w:rPr>
          <w:color w:val="555555"/>
          <w:sz w:val="18"/>
        </w:rPr>
        <w:t xml:space="preserve">Kohlendioxid-Speicherung-und-Transport-Gesetz</w:t>
      </w:r>
    </w:p>
    <w:p>
      <w:r>
        <w:rPr>
          <w:color w:val="555555"/>
          <w:sz w:val="18"/>
        </w:rPr>
        <w:t xml:space="preserve">Stand: 10.06.2019 (konsolidierte Textfassung, kein amtliches Inkrafttretensdatum)</w:t>
      </w:r>
    </w:p>
    <w:p>
      <w:r>
        <w:t xml:space="preserve">(1) Der Betreiber hat auf Grundlage des Überwachungskonzepts nach § 20 den Kohlendioxidspeicher und den Speicherkomplex, insbesondere die Anlagen zur Injektion, das Verhalten des gespeicherten Kohlendioxids und dessen Einwirkungen auf den Kohlendioxidspeicher und den Speicherkomplex, sowie die umgebende Umwelt kontinuierlich zu überwachen.</w:t>
      </w:r>
    </w:p>
    <w:p>
      <w:r>
        <w:t xml:space="preserve">(2) Die Überwachung ist so durchzuführen, dass sie insbesondere Folgendes ermöglicht:</w:t>
      </w:r>
    </w:p>
    <w:p>
      <w:pPr>
        <w:ind w:left="420"/>
      </w:pPr>
      <w:r>
        <w:t xml:space="preserve">1. den Vergleich des tatsächlichen Verhaltens des gespeicherten Kohlendioxids mit dem Verhalten, welches zuvor gemäß Anlage 1 im Modell prognostiziert worden ist,</w:t>
      </w:r>
    </w:p>
    <w:p>
      <w:pPr>
        <w:ind w:left="420"/>
      </w:pPr>
      <w:r>
        <w:t xml:space="preserve">2. das Erkennen von Art und Ausmaß von Leckagen, erheblichen Unregelmäßigkeiten und Migrationen,</w:t>
      </w:r>
    </w:p>
    <w:p>
      <w:pPr>
        <w:ind w:left="420"/>
      </w:pPr>
      <w:r>
        <w:t xml:space="preserve">3. das Feststellen von Art und Ausmaß potenziell nachteiliger Einwirkungen auf Mensch und Umwelt sowie auf Belange Dritter,</w:t>
      </w:r>
    </w:p>
    <w:p>
      <w:pPr>
        <w:ind w:left="420"/>
      </w:pPr>
      <w:r>
        <w:t xml:space="preserve">4. die Bewertung der Wirksamkeit von Abhilfemaßnahmen, die nach § 23 getroffenen wurden, und</w:t>
      </w:r>
    </w:p>
    <w:p>
      <w:pPr>
        <w:ind w:left="420"/>
      </w:pPr>
      <w:r>
        <w:t xml:space="preserve">5. die kontinuierliche Überprüfung während des Betriebs, insbesondere, ob die Voraussetzungen des § 13 Absatz 1 Satz 1 Nummer 1 bis 4 an diesem Standort mit der gewählten Betriebsweise erfüllt werden können.</w:t>
      </w:r>
    </w:p>
    <w:p>
      <w:r>
        <w:t xml:space="preserve">(3) Der Betreiber ist verpflichtet, auf Verlangen der zuständigen Behörde, mindestens jedoch einmal im Jahr, folgende Angaben zu übermitteln:</w:t>
      </w:r>
    </w:p>
    <w:p>
      <w:pPr>
        <w:ind w:left="420"/>
      </w:pPr>
      <w:r>
        <w:t xml:space="preserve">1. die Ergebnisse der kontinuierlichen Überwachung einschließlich der gewonnenen Daten und der verwendeten Technologie sowie</w:t>
      </w:r>
    </w:p>
    <w:p>
      <w:pPr>
        <w:ind w:left="420"/>
      </w:pPr>
      <w:r>
        <w:t xml:space="preserve">2. die Angaben, die erforderlich sind, um die Einhaltung der Zulassungsvoraussetzungen zu prüfen und den Kenntnisstand über das Verhalten des Kohlendioxids in einem Kohlendioxidspeicher zu erweitern.</w:t>
      </w:r>
    </w:p>
    <w:p>
      <w:r>
        <w:rPr>
          <w:color w:val="555555"/>
          <w:sz w:val="17"/>
        </w:rPr>
        <w:t xml:space="preserve">Zitiervorschlag: § 22 KSpG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https://recht.nulegal.eu/gesetze/KSpG/22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