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KSpG — Anpassung</w:t>
      </w:r>
    </w:p>
    <w:p>
      <w:r>
        <w:rPr>
          <w:color w:val="555555"/>
          <w:sz w:val="18"/>
        </w:rPr>
        <w:t xml:space="preserve">Kohlendioxid-Speicherung-und-Transport-Gesetz</w:t>
      </w:r>
    </w:p>
    <w:p>
      <w:r>
        <w:rPr>
          <w:color w:val="555555"/>
          <w:sz w:val="18"/>
        </w:rPr>
        <w:t xml:space="preserve">Stand: 28.11.2025 (konsolidierte Textfassung, kein amtliches Inkrafttretensdatum)</w:t>
      </w:r>
    </w:p>
    <w:p>
      <w:r>
        <w:t xml:space="preserve">(1) Der Betreiber ist verpflichtet, alle Tätigkeiten und Anlagen für die dauerhafte Speicherung nach § 2 Absatz 1 Nummer 2 auf einem Stand zu halten, der die Erfüllung der in § 13 Absatz 1 Satz 1 Nummer 2 bis 4 genannten Voraussetzungen sicherstellt. Die zuständige Behörde konkretisiert die Pflicht nach Satz 1 durch nachträgliche Auflagen nach § 13 Absatz 3 Satz 2; sie überprüft alle fünf Jahre, ob die Voraussetzungen des § 13 Absatz 1 Satz 1 Nummer 2 bis 4 eingehalten werden.</w:t>
      </w:r>
    </w:p>
    <w:p>
      <w:r>
        <w:t xml:space="preserve">(2) Die nach diesem Gesetz zu erstellenden Programme, Nachweise und Konzepte sind auf Anforderung der zuständigen Behörde in angemessenen Abständen an den Vorsorgestandard nach § 13 Absatz 1 Satz 1 Nummer 4 anzupassen. Die Anpassung ist mit der zuständigen Behörde abzustimmen und ab Inbetriebnahme des Kohlendioxidspeichers bis zur Übertragung der Verantwortung nach § 31 zu gewährleisten.</w:t>
      </w:r>
    </w:p>
    <w:p>
      <w:r>
        <w:rPr>
          <w:color w:val="555555"/>
          <w:sz w:val="17"/>
        </w:rPr>
        <w:t xml:space="preserve">Zitiervorschlag: § 21 KSpG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https://recht.nulegal.eu/gesetze/KSpG/21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