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KSpG — Geltungsbereich</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Dieses Gesetz gilt für</w:t>
      </w:r>
    </w:p>
    <w:p>
      <w:pPr>
        <w:ind w:left="420"/>
      </w:pPr>
      <w:r>
        <w:t xml:space="preserve">1. die Genehmigung und den Betrieb von Kohlendioxidleitungen,</w:t>
      </w:r>
    </w:p>
    <w:p>
      <w:pPr>
        <w:ind w:left="420"/>
      </w:pPr>
      <w:r>
        <w:t xml:space="preserve">2. die Genehmigung und den Betrieb von Anlagen zur dauerhaften Speicherung von Kohlendioxid in unterirdischen Gesteinsschichten einschließlich der Untersuchung, der Überwachung, der Stilllegung und der Nachsorge für alle Anlagen und Einrichtungen zur Speicherung,</w:t>
      </w:r>
    </w:p>
    <w:p>
      <w:pPr>
        <w:ind w:left="420"/>
      </w:pPr>
      <w:r>
        <w:t xml:space="preserve">3. den leitungsgebundenen Transport von Kohlendioxid und</w:t>
      </w:r>
    </w:p>
    <w:p>
      <w:pPr>
        <w:ind w:left="420"/>
      </w:pPr>
      <w:r>
        <w:t xml:space="preserve">4. sonstige Tätigkeiten, soweit dies ausdrücklich bestimmt ist.</w:t>
      </w:r>
    </w:p>
    <w:p>
      <w:r>
        <w:t xml:space="preserve">(2) Dieses Gesetz gilt nach Maßgabe des Seerechtsübereinkommens der Vereinten Nationen vom 10. Dezember 1982 (BGBl. 1994 II S. 1798, 1799) auch im Bereich der ausschließlichen Wirtschaftszone und des Festlandsockels.</w:t>
      </w:r>
    </w:p>
    <w:p>
      <w:r>
        <w:t xml:space="preserve">(3) Es dürfen Kohlendioxidspeicher zugelassen werden, die sich weitgehend im Bereich der ausschließlichen Wirtschaftszone und des Festlandsockels befinden. Die Injektion von Kohlendioxid im Bereich des Küstenmeeres ist ausgeschlossen.</w:t>
      </w:r>
    </w:p>
    <w:p>
      <w:r>
        <w:t xml:space="preserve">(4) Dieses Gesetz gilt auch für die Speicherung von Kohlendioxid zu Forschungszwecken. Kohlendioxidspeicher zu Forschungszwecken dürfen im Geltungsbereich dieses Gesetzes zugelassen werden.</w:t>
      </w:r>
    </w:p>
    <w:p>
      <w:r>
        <w:t xml:space="preserve">(5) Die Länder können für ihr Landesgebiet bestimmen, dass eine dauerhafte Speicherung von Kohlendioxid auch im geologischen Untergrund auf dem Gebiet des deutschen Festlands zulässig ist. Sie können dabei festlegen, dass eine Speicherung nur in bestimmten Gebieten zulässig ist. In Speicherkomplexen, die sich über das Gebiet mehrerer Länder erstrecken, darf Kohlendioxid dauerhaft nur gespeichert werden, wenn alle betroffenen Länder für das Gebiet, auf dem sich der jeweilige Speicherkomplex befindet, die dauerhafte Speicherung zugelassen haben oder das Land, in dem das Kohlendioxid in den tieferen geologischen Untergrund injiziert wird, dies zugelassen und mit den anderen betroffenen Ländern einen Staatsvertrag geschlossen hat, der die dauerhafte Speicherung in dem Speicherkomplex regelt. Wird eine Speicherung durch die Länder nach den Sätzen 1 bis 3 zugelassen, so richten sich Genehmigung und Betrieb entsprechender Kohlendioxidspeicher nach den Vorgaben dieses Gesetzes.</w:t>
      </w:r>
    </w:p>
    <w:p>
      <w:r>
        <w:t xml:space="preserve">(6) Dieses Gesetz gilt auch für natürliche oder juristische Personen, die im Geltungsbereich dieses Gesetzes Inhaber einer Genehmigung im Sinne des Artikels 1 Nummer 3 der Richtlinie 94/22/EG sind oder waren, hinsichtlich</w:t>
      </w:r>
    </w:p>
    <w:p>
      <w:pPr>
        <w:ind w:left="420"/>
      </w:pPr>
      <w:r>
        <w:t xml:space="preserve">1. ihrer in Artikel 21 Absatz 1 Satz 1 Buchstabe b sowie nach Artikel 23 Absatz 3 der Verordnung (EU) 2024/1735 durch die Europäische Kommission festgelegten Verpflichtungen im Zusammenhang mit der Schaffung einer Kohlendioxid-Injektionskapazität auf Ebene der Europäischen Union und</w:t>
      </w:r>
    </w:p>
    <w:p>
      <w:pPr>
        <w:ind w:left="420"/>
      </w:pPr>
      <w:r>
        <w:t xml:space="preserve">2. der nach Artikel 23 Absatz 13 der Verordnung (EU) 2024/1735 festzulegenden Sanktionen bei einem Verstoß gegen die nach Artikel 23 Absatz 3 der Verordnung (EU) 2024/1735 durch die Europäische Kommission festgelegte Verpflichtung zu einem Beitrag zu dem Ziel der Kohlendioxid-Injektionskapazität.</w:t>
      </w:r>
    </w:p>
    <w:p>
      <w:r>
        <w:rPr>
          <w:color w:val="555555"/>
          <w:sz w:val="17"/>
        </w:rPr>
        <w:t xml:space="preserve">Zitiervorschlag: § 2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