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KSpG — Nachsorge</w:t>
      </w:r>
    </w:p>
    <w:p>
      <w:r>
        <w:rPr>
          <w:color w:val="555555"/>
          <w:sz w:val="18"/>
        </w:rPr>
        <w:t xml:space="preserve">Kohlendioxid-Speicherung-und-Transport-Gesetz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Abschluss der Stilllegung des Kohlendioxidspeichers ist der Betreiber insbesondere nach Maßgabe des Stilllegungs- und Nachsorgekonzepts verpflichtet, auf seine Kosten Vorsorge gegen Leckagen und Beeinträchtigungen von Mensch und Umwelt zu treffen. Die Pflichten nach den §§ 22 und 23 gelten entsprechend.</w:t>
      </w:r>
    </w:p>
    <w:p>
      <w:r>
        <w:rPr>
          <w:color w:val="555555"/>
          <w:sz w:val="17"/>
        </w:rPr>
        <w:t xml:space="preserve">Zitiervorschlag: § 18 KSpG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https://recht.nulegal.eu/gesetze/KSpG/18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