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KSpG — Stilllegung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Die Stilllegung bedarf der Genehmigung.</w:t>
      </w:r>
    </w:p>
    <w:p>
      <w:r>
        <w:t xml:space="preserve">(2) Dem Antrag auf Genehmigung der Stilllegung sind Unterlagen über den Grund der Stilllegung und ein Stilllegungs- und Nachsorgekonzept beizufügen. Das Stilllegungs- und Nachsorgekonzept besteht aus dem aktualisierten Sicherheitsnachweis nach § 19 und aus einem aktualisierten Überwachungskonzept nach § 20 unter Beachtung der Bestimmungen der Anlage 2 Nummer 2.</w:t>
      </w:r>
    </w:p>
    <w:p>
      <w:r>
        <w:t xml:space="preserve">(3) Die Genehmigung ist zu erteilen, wenn</w:t>
      </w:r>
    </w:p>
    <w:p>
      <w:pPr>
        <w:ind w:left="420"/>
      </w:pPr>
      <w:r>
        <w:t xml:space="preserve">1. das Stilllegungs- und Nachsorgekonzept den gesetzlichen Anforderungen entspricht,</w:t>
      </w:r>
    </w:p>
    <w:p>
      <w:pPr>
        <w:ind w:left="420"/>
      </w:pPr>
      <w:r>
        <w:t xml:space="preserve">2. sichergestellt ist, dass nach der Stilllegung und während der Nachsorge die Voraussetzungen des § 13 Absatz 1 Satz 1 Nummer 2 bis 4 erfüllt werden, sowie</w:t>
      </w:r>
    </w:p>
    <w:p>
      <w:pPr>
        <w:ind w:left="420"/>
      </w:pPr>
      <w:r>
        <w:t xml:space="preserve">3. sonstige öffentlich-rechtliche Belange nicht entgegenstehen.</w:t>
      </w:r>
    </w:p>
    <w:p>
      <w:r>
        <w:t xml:space="preserve">Die Behörde kann erforderliche Anordnungen treffen, um die Genehmigungsfähigkeit der Stilllegung herzustellen.</w:t>
      </w:r>
    </w:p>
    <w:p>
      <w:r>
        <w:t xml:space="preserve">(4) In allen Fällen, in denen der Betreiber nach den Vorschriften dieses Gesetzes, einer auf Grund dieses Gesetzes erlassenen Rechtsvorschrift oder auf Grund einer behördlichen Entscheidung zur Stilllegung verpflichtet ist, hat er die Injektion von Kohlendioxid unverzüglich einzustellen. Er hat der zuständigen Behörde unaufgefordert und unverzüglich einen Antrag auf Genehmigung der Stilllegung und die Unterlagen nach Absatz 2 zu übermitteln.</w:t>
      </w:r>
    </w:p>
    <w:p>
      <w:r>
        <w:t xml:space="preserve">(5) Der Betreiber ist verpflichtet, den Kohlendioxidspeicher stillzulegen, wenn die im Planfeststellungsbeschluss nach § 13 Absatz 2 Nummer 4 festgelegte Menge an Kohlendioxid gespeichert worden ist. Hat der Betreiber einen Antrag auf Erhöhung der zu speichernden Menge an Kohlendioxid gestellt, kann die zuständige Behörde auf Antrag des Betreibers die Pflicht nach Absatz 4 Satz 2 bis zum Abschluss des Verfahrens über die Erhöhung der Speichermenge aussetzen, wenn mit einer Entscheidung zugunsten des Betreibers gerechnet werden kann.</w:t>
      </w:r>
    </w:p>
    <w:p>
      <w:r>
        <w:t xml:space="preserve">(6) Nach Erteilung der Genehmigung hat der Betreiber die Stilllegung auf seine Kosten durchzuführen. Die Stilllegung umfasst nicht die Beseitigung von Einrichtungen, die für die Nachsorge erforderlich sind. Die zuständige Behörde stellt den ordnungsgemäßen Abschluss der Stilllegung auf Antrag fest.</w:t>
      </w:r>
    </w:p>
    <w:p>
      <w:r>
        <w:rPr>
          <w:color w:val="555555"/>
          <w:sz w:val="17"/>
        </w:rPr>
        <w:t xml:space="preserve">Zitiervorschlag: § 17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