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KSpG — Duldungspflicht</w:t>
      </w:r>
    </w:p>
    <w:p>
      <w:r>
        <w:rPr>
          <w:color w:val="555555"/>
          <w:sz w:val="18"/>
        </w:rPr>
        <w:t xml:space="preserve">Kohlendioxid-Speicherung-und-Transport-Gesetz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Grundstückseigentümer und sonstige Nutzungsberechtigte haben nach Maßgabe des § 75 Absatz 2 Satz 1 des Verwaltungsverfahrensgesetzes die mit der dauerhaften Speicherung verbundenen Einwirkungen zu dulden, soweit diese ausschließlich den Erdkörper unter der Oberfläche des Grundstücks betreffen. § 905 Satz 2 des Bürgerlichen Gesetzbuchs bleibt unberührt. Der Grundstückseigentümer und sonstige Nutzungsberechtigte haften nicht für nachteilige Wirkungen, die durch eine von ihnen nach Satz 1 zu duldende Speicherung verursacht werden.</w:t>
      </w:r>
    </w:p>
    <w:p>
      <w:r>
        <w:rPr>
          <w:color w:val="555555"/>
          <w:sz w:val="17"/>
        </w:rPr>
        <w:t xml:space="preserve">Zitiervorschlag: § 14 KSpG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https://recht.nulegal.eu/gesetze/KSpG/14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