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KSpG — Planfeststellung</w:t>
      </w:r>
    </w:p>
    <w:p>
      <w:r>
        <w:rPr>
          <w:color w:val="555555"/>
          <w:sz w:val="18"/>
        </w:rPr>
        <w:t xml:space="preserve">Kohlendioxid-Speicherung-und-Transport-Gesetz</w:t>
      </w:r>
    </w:p>
    <w:p>
      <w:r>
        <w:rPr>
          <w:color w:val="555555"/>
          <w:sz w:val="18"/>
        </w:rPr>
        <w:t xml:space="preserve">Stand: 28.11.2025 (konsolidierte Textfassung, kein amtliches Inkrafttretensdatum)</w:t>
      </w:r>
    </w:p>
    <w:p>
      <w:r>
        <w:t xml:space="preserve">(1) Der Plan darf nur festgestellt oder die Plangenehmigung nur erteilt werden, wenn</w:t>
      </w:r>
    </w:p>
    <w:p>
      <w:pPr>
        <w:ind w:left="420"/>
      </w:pPr>
      <w:r>
        <w:t xml:space="preserve">1. sichergestellt ist, dass unter Berücksichtigung der Standortgebundenheit die Errichtung und der Betrieb des geplanten Kohlendioxidspeichers das Wohl der Allgemeinheit nicht beeinträchtigen und überwiegende private Belange nicht entgegenstehen,</w:t>
      </w:r>
    </w:p>
    <w:p>
      <w:pPr>
        <w:ind w:left="420"/>
      </w:pPr>
      <w:r>
        <w:t xml:space="preserve">2. die Langzeitsicherheit des Kohlendioxidspeichers einschließlich des Schutzes des Grundwassers im Hinblick auf die Verwendung als Trinkwasser gewährleistet ist,</w:t>
      </w:r>
    </w:p>
    <w:p>
      <w:pPr>
        <w:ind w:left="420"/>
      </w:pPr>
      <w:r>
        <w:t xml:space="preserve">3. Gefahren für Mensch und Umwelt im Übrigen nicht hervorgerufen werden können,</w:t>
      </w:r>
    </w:p>
    <w:p>
      <w:pPr>
        <w:ind w:left="420"/>
      </w:pPr>
      <w:r>
        <w:t xml:space="preserve">4. die erforderliche Vorsorge gegen Beeinträchtigungen von Mensch und Umwelt getroffen wird, insbesondere durch Verhinderung von erheblichen Unregelmäßigkeiten; die erforderliche Vorsorge für Kohlendioxidspeicher nach § 2 Absatz 3 und 5 bestimmt sich nach dem Stand von Wissenschaft und Technik,</w:t>
      </w:r>
    </w:p>
    <w:p>
      <w:pPr>
        <w:ind w:left="420"/>
      </w:pPr>
      <w:r>
        <w:t xml:space="preserve">5. die nach § 12 Absatz 2 einzureichenden Unterlagen den Anforderungen dieses Gesetzes und den auf Grundlage dieses Gesetzes erlassenen Rechtsverordnungen entsprechen,</w:t>
      </w:r>
    </w:p>
    <w:p>
      <w:pPr>
        <w:ind w:left="420"/>
      </w:pPr>
      <w:r>
        <w:t xml:space="preserve">6. der Antragsteller sicherstellen kann, dass der Kohlendioxidstrom den Anforderungen des § 24 entspricht,</w:t>
      </w:r>
    </w:p>
    <w:p>
      <w:pPr>
        <w:ind w:left="420"/>
      </w:pPr>
      <w:r>
        <w:t xml:space="preserve">7. der Antragsteller die von der zuständigen Behörde für das erste Betriebsjahr festgesetzte Deckungsvorsorge nach § 30 Absatz 2 getroffen hat,</w:t>
      </w:r>
    </w:p>
    <w:p>
      <w:pPr>
        <w:ind w:left="420"/>
      </w:pPr>
      <w:r>
        <w:t xml:space="preserve">8. der Bau und der Betrieb des Kohlendioxidspeichers die Errichtung oder den Betrieb einer Windenergieanlage auf See nach § 3 Nummer 11 des Windenergie-auf-See-Gesetzes vom 13. Oktober 2016 (BGBl. I S. 2258, 2310), das zuletzt durch Artikel 44 des Gesetzes vom 23. Oktober 2024 (BGBl. 2024 I Nr. 323) geändert worden ist, einer Offshore-Anbindungsleitung nach § 3 Nummer 5 des Windenergie-auf-See-Gesetzes, einer sonstigen Energiegewinnungsanlage nach § 3 Nummer 7 des Windenergie-auf-See-Gesetzes, zur Erzeugung von Wasserstoff sowie einer Anlage zur Übertragung von Wasserstoff aus sonstigen Energiegewinnungsanlagen nicht wesentlich beeinträchtigt,</w:t>
      </w:r>
    </w:p>
    <w:p>
      <w:pPr>
        <w:ind w:left="420"/>
      </w:pPr>
      <w:r>
        <w:t xml:space="preserve">9. im Bereich der ausschließlichen Wirtschaftszone und des Festlandsockels</w:t>
      </w:r>
    </w:p>
    <w:p>
      <w:pPr>
        <w:ind w:left="780"/>
      </w:pPr>
      <w:r>
        <w:t xml:space="preserve">a) die Errichtung und der Betrieb von Anlagen, die der Injektion des Kohlendioxids dienen, über oder auf der Wasseroberfläche sowie im Bereich der Wassersäule nicht in einem zum 31. Dezember 2023 nach § 57 Absatz 2 des Bundesnaturschutzgesetzes vom 29. Juli 2009 (BGBl. I S. 2542), das zuletzt durch Artikel 48 des Gesetzes vom 23. Oktober 2024 (BGBl. 2024 I Nr. 323) geändert worden ist, geschützten Meeresgebiet oder in einem Abstand von weniger als 8 Kilometern dazu vorgesehen sind,</w:t>
      </w:r>
    </w:p>
    <w:p>
      <w:pPr>
        <w:ind w:left="780"/>
      </w:pPr>
      <w:r>
        <w:t xml:space="preserve">b) die Stelle am Meeresboden, an der das Kohlendioxid in den tieferen geologischen Untergrund injiziert werden soll, sich nicht in einem zum 31. Dezember 2023 nach § 57 Absatz 2 des Bundesnaturschutzgesetzes geschützten Meeresgebiet oder in einem Abstand von weniger als 8 Kilometern dazu befindet,</w:t>
      </w:r>
    </w:p>
    <w:p>
      <w:pPr>
        <w:ind w:left="780"/>
      </w:pPr>
      <w:r>
        <w:t xml:space="preserve">c) die für die Speicherung vorgesehenen Gesteinsschichten sich nicht unterhalb eines zum 31. Dezember 2023 nach § 57 Absatz 2 des Bundesnaturschutzgesetzes geschützten Meeresgebiets befinden,</w:t>
      </w:r>
    </w:p>
    <w:p>
      <w:pPr>
        <w:ind w:left="780"/>
      </w:pPr>
      <w:r>
        <w:t xml:space="preserve">d) Rammungen und lärmintensive seismische Untersuchungen beim Bau und Betrieb des Kohlendioxidspeichers einschließlich dessen Überwachung in der sensiblen Zeit von Mai bis August nicht im Hauptkonzentrationsgebiet des Schweinswals nach Abbildung 15 im Anhang der Anlage zur Verordnung über die Raumordnung in der deutschen ausschließlichen Wirtschaftszone in der Nordsee und in der Ostsee vom 19. August 2021 (BGBl. I S. 3886) oder in einem Abstand von weniger als 8 Kilometern dazu durchgeführt werden,</w:t>
      </w:r>
    </w:p>
    <w:p>
      <w:pPr>
        <w:ind w:left="780"/>
      </w:pPr>
      <w:r>
        <w:t xml:space="preserve">e) die Errichtung und der Betrieb von Anlagen, die der Injektion des Kohlendioxids dienen, über oder auf der Wasseroberfläche sowie im Bereich der Wassersäule nicht in der für einen Ausschluss von Anlagen über der Wasseroberfläche markierten Fläche nach Abbildung 16 im Anhang der Anlage zur Verordnung über die Raumordnung in der deutschen ausschließlichen Wirtschaftszone in der Nordsee und in der Ostsee vorgesehen sind und die Stelle am Meeresboden, an der das Kohlendioxid in den tieferen geologischen Untergrund injiziert werden soll, sich nicht in diesem Gebiet befindet,</w:t>
      </w:r>
    </w:p>
    <w:p>
      <w:pPr>
        <w:ind w:left="780"/>
      </w:pPr>
      <w:r>
        <w:t xml:space="preserve">f) die für die Speicherung vorgesehenen Gesteinsschichten sich zu einem Anteil von mindestens drei Vierteln im Bereich der ausschließlichen Wirtschaftszone und des Festlandsockels befinden sowie die Injektion von Kohlendioxid nur in diesen Gebieten stattfindet,</w:t>
      </w:r>
    </w:p>
    <w:p>
      <w:pPr>
        <w:ind w:left="780"/>
      </w:pPr>
      <w:r>
        <w:t xml:space="preserve">g) keine Beeinträchtigungen der Sicherheit und Leichtigkeit des Schiffsverkehrs zu besorgen sind, die nicht durch Bedingungen und Auflagen ausgeglichen werden können und</w:t>
      </w:r>
    </w:p>
    <w:p>
      <w:pPr>
        <w:ind w:left="420"/>
      </w:pPr>
      <w:r>
        <w:t xml:space="preserve">10. sonstige öffentlich-rechtliche Vorschriften nicht entgegenstehen.</w:t>
      </w:r>
    </w:p>
    <w:p>
      <w:r>
        <w:t xml:space="preserve">Die sich aus § 7 Absatz 1 Satz 2 Nummer 1 und 3 bis 7 ergebenden Voraussetzungen gelten entsprechend. Der in Satz 1 Nummer 9 Buchstabe a und b vorgesehene Mindestabstand von 8 Kilometern sowie Satz 1 Nummer 9 Buchstabe c gelten nicht, wenn durch eine Rechtsverordnung nach § 25 Absatz 3 festgestellt wird, dass unter Zugrundelegung des Ergebnisses der Evaluierung nach § 44, insbesondere der Bewertung nach § 44 Absatz 2 Nummer 3a, die nach diesem Gesetz zur Verfügung stehenden Speicherkapazitäten nicht ausreichend sind und daher im Bereich der ausschließlichen Wirtschaftszone und des Festlandsockels auszuweiten sind. Bei der Planfeststellung und der Plangenehmigung sind Ziele der Raumordnung und des Flächenentwicklungsplans nach dem Windenergie-auf-See-Gesetz zu beachten sowie Grundsätze und sonstige Erfordernisse der Raumordnung zu berücksichtigen. Bei der Entscheidung sind im Rahmen der Genehmigungsvoraussetzungen und der Abwägung die Ergebnisse der Umweltverträglichkeitsprüfung nach § 25 des Gesetzes über die Umweltverträglichkeitsprüfung im Hinblick auf eine wirksame Umweltvorsorge zu berücksichtigen. Auf die Belange der Land- und Forstwirtschaft sowie der Fischerei und Aquakulturwirtschaft ist Rücksicht zu nehmen. Die Planfeststellung nach Satz 1 bedarf des Einvernehmens des Bundesamts für Seeschifffahrt und Hydrographie sowie der Generaldirektion Wasserstraßen und Schifffahrt. Das Bundesamt für Naturschutz ist zu beteiligen. Soweit die Planfeststellung nach Satz 1 das Vorbehaltsgebiet Schweinswale nach Abbildung 15 im Anhang der Anlage zur Verordnung über die Raumordnung in der deutschen ausschließlichen Wirtschaftszone in der Nordsee und in der Ostsee vom 19. August 2021 (BGBl. I S. 3886) betrifft, bedarf es des Einvernehmens des Bundesamtes für Naturschutz.</w:t>
      </w:r>
    </w:p>
    <w:p>
      <w:r>
        <w:t xml:space="preserve">(2) Der Planfeststellungsbeschluss oder die Plangenehmigung muss insbesondere enthalten:</w:t>
      </w:r>
    </w:p>
    <w:p>
      <w:pPr>
        <w:ind w:left="420"/>
      </w:pPr>
      <w:r>
        <w:t xml:space="preserve">1. den Namen und den Wohnsitz oder Sitz des Antragstellers,</w:t>
      </w:r>
    </w:p>
    <w:p>
      <w:pPr>
        <w:ind w:left="420"/>
      </w:pPr>
      <w:r>
        <w:t xml:space="preserve">2. die genaue Lage und Ausdehnung des Kohlendioxidspeichers, des Speicherkomplexes sowie der betroffenen hydraulischen Einheiten,</w:t>
      </w:r>
    </w:p>
    <w:p>
      <w:pPr>
        <w:ind w:left="420"/>
      </w:pPr>
      <w:r>
        <w:t xml:space="preserve">3. die genaue Beschreibung der Anlagen und der zu verwendenden Technologien,</w:t>
      </w:r>
    </w:p>
    <w:p>
      <w:pPr>
        <w:ind w:left="420"/>
      </w:pPr>
      <w:r>
        <w:t xml:space="preserve">4. die Festlegung der jährlichen Höchstmenge, der Gesamtmenge und der zulässigen Zusammensetzung des zu speichernden Kohlendioxids sowie der maximalen Injektionsraten und des maximalen Injektionsdrucks,</w:t>
      </w:r>
    </w:p>
    <w:p>
      <w:pPr>
        <w:ind w:left="420"/>
      </w:pPr>
      <w:r>
        <w:t xml:space="preserve">5. die Festlegung von Maßnahmen zur Verhütung von Leckagen und erheblichen Unregelmäßigkeiten, insbesondere unter Berücksichtigung von Risiken durch gelöste Stoffe und durch die Verdrängung von Formationswässern.</w:t>
      </w:r>
    </w:p>
    <w:p>
      <w:r>
        <w:t xml:space="preserve">(3) Der Planfeststellungsbeschluss oder die Plangenehmigung kann mit Befristungen, Bedingungen, einem Vorbehalt des Widerrufs oder Auflagen versehen werden. Zur Erfüllung der Vorschriften dieses Gesetzes oder der auf Grund dieses Gesetzes erlassenen Rechtsverordnungen ist bis zur Übertragung der Verantwortung nach § 31 die Aufnahme, Änderung und Ergänzung von Auflagen zulässig.</w:t>
      </w:r>
    </w:p>
    <w:p>
      <w:r>
        <w:t xml:space="preserve">(4) Die zuständige Behörde übermittelt eine Abschrift der vollständigen Antragsunterlagen, weitere entscheidungserhebliche Daten und den Entwurf des Planfeststellungsbeschlusses über die zuständigen Stellen in der Bundesregierung an die Kommission. Die Abschrift der vollständigen Antragsunterlagen ist innerhalb eines Monats nach deren Eingang bei der zuständigen Behörde an die Kommission zu übermitteln. Eine Stellungnahme der Kommission ist in der endgültigen Entscheidung zu berücksichtigen, wenn sie innerhalb von vier Monaten nach Übermittlung des Entwurfs des Planfeststellungsbeschlusses eingeht. Die zuständige Behörde übermittelt den zuständigen Stellen in der Bundesregierung über die dafür nach Landesrecht zuständige Behörde den Planfeststellungsbeschluss sowie Begründungen für etwaige Abweichungen von der Stellungnahme der Kommission zur Weiterleitung an die Kommission.</w:t>
      </w:r>
    </w:p>
    <w:p>
      <w:r>
        <w:t xml:space="preserve">(5) Das Verfahren zur Planfeststellung oder Plangenehmigung für ein Vorhaben, dessen Auswirkungen über das Gebiet eines Landes hinausgehen, ist zwischen den zuständigen Behörden der beteiligten Länder abzustimmen.</w:t>
      </w:r>
    </w:p>
    <w:p>
      <w:r>
        <w:rPr>
          <w:color w:val="555555"/>
          <w:sz w:val="17"/>
        </w:rPr>
        <w:t xml:space="preserve">Zitiervorschlag: § 13 KSpG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https://recht.nulegal.eu/gesetze/KSpG/13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