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KSpG — Planfeststellung für Errichtung und Betrieb eines Kohlendioxidspeichers</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Die Errichtung, der Betrieb sowie die wesentliche Änderung eines Kohlendioxidspeichers bedürfen der vorherigen Planfeststellung durch die zuständige Behörde. Die Errichtung, der Betrieb und die wesentliche Änderung von Kohlendioxidspeichern liegen im überragenden öffentlichen Interesse. Ein überragendes öffentliches Interesse nach Satz 2 besteht nicht für die Errichtung, den Betrieb sowie die wesentliche Änderung von Kohlendioxidspeichern in einem zum 31. Dezember 2023 nach § 57 Absatz 2 des Bundesnaturschutzgesetzes vom 29. Juli 2009 (BGBl. I S. 2542), das zuletzt durch Artikel 48 des Gesetzes vom 23. Oktober 2024 (BGBl. 2024 I Nr. 323) geändert worden ist, geschützten Meeresgebiet. Bei der Entscheidung ist im Rahmen der Abwägung § 4 Absatz 1 Satz 5 entsprechend anzuwenden.</w:t>
      </w:r>
    </w:p>
    <w:p>
      <w:r>
        <w:t xml:space="preserve">(1a) Die Behörde wirkt darauf hin, dass der Träger des Vorhabens die Öffentlichkeit spätestens mit Antragstellung über das planfeststellungspflichtige Vorhaben, insbesondere über die Lage und die Größe des Kohlendioxidspeichers sowie die Technologie der Kohlendioxidspeicherung, informiert. Dabei ist der Öffentlichkeit Gelegenheit zur Äußerung und Erörterung zu geben. Die Länder können die näheren Anforderungen an das Verfahren nach den Sätzen 1 und 2 bestimmen.</w:t>
      </w:r>
    </w:p>
    <w:p>
      <w:r>
        <w:t xml:space="preserve">(2) An Stelle eines Planfeststellungsbeschlusses kann eine Plangenehmigung nach § 74 Absatz 6 des Verwaltungsverfahrensgesetzes erteilt werden, wenn</w:t>
      </w:r>
    </w:p>
    <w:p>
      <w:pPr>
        <w:ind w:left="420"/>
      </w:pPr>
      <w:r>
        <w:t xml:space="preserve">1. eine wesentliche Änderung eines Kohlendioxidspeichers beantragt wird,</w:t>
      </w:r>
    </w:p>
    <w:p>
      <w:pPr>
        <w:ind w:left="420"/>
      </w:pPr>
      <w:r>
        <w:t xml:space="preserve">2. Rechte anderer nicht beeinträchtigt werden oder die Betroffenen sich mit der Inanspruchnahme ihres Eigentums oder eines anderen Rechts schriftlich einverstanden erklärt haben,</w:t>
      </w:r>
    </w:p>
    <w:p>
      <w:pPr>
        <w:ind w:left="420"/>
      </w:pPr>
      <w:r>
        <w:t xml:space="preserve">3. mit den Trägern öffentlicher Belange, deren Aufgabenbereich berührt wird, das Benehmen hergestellt worden ist und</w:t>
      </w:r>
    </w:p>
    <w:p>
      <w:pPr>
        <w:ind w:left="420"/>
      </w:pPr>
      <w:r>
        <w:t xml:space="preserve">4. keine Pflicht zur Durchführung einer Umweltverträglichkeitsprüfung besteht.</w:t>
      </w:r>
    </w:p>
    <w:p>
      <w:r>
        <w:t xml:space="preserve">(3) Die dauerhafte Speicherung von Kohlendioxid außerhalb eines zugelassenen Kohlendioxidspeichers und die Speicherung in der Wassersäule ist unzulässig.</w:t>
      </w:r>
    </w:p>
    <w:p>
      <w:r>
        <w:rPr>
          <w:color w:val="555555"/>
          <w:sz w:val="17"/>
        </w:rPr>
        <w:t xml:space="preserve">Zitiervorschlag: § 11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