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KSchG — Zulässigkeit von Kurzarbeit</w:t>
      </w:r>
    </w:p>
    <w:p>
      <w:r>
        <w:rPr>
          <w:color w:val="555555"/>
          <w:sz w:val="18"/>
        </w:rPr>
        <w:t xml:space="preserve">Kündigungsschutzgesetz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Arbeitgeber nicht in der Lage, die Arbeitnehmer bis zu dem in § 18 Abs. 1 und 2 bezeichneten Zeitpunkt voll zu beschäftigen, so kann die Bundesagentur für Arbeit zulassen, daß der Arbeitgeber für die Zwischenzeit Kurzarbeit einführt.</w:t>
      </w:r>
    </w:p>
    <w:p>
      <w:r>
        <w:t xml:space="preserve">(2) Der Arbeitgeber ist im Falle der Kurzarbeit berechtigt, Lohn oder Gehalt der mit verkürzter Arbeitszeit beschäftigten Arbeitnehmer entsprechend zu kürzen; die Kürzung des Arbeitsentgelts wird jedoch erst von dem Zeitpunkt an wirksam, an dem das Arbeitsverhältnis nach den allgemeinen gesetzlichen oder den vereinbarten Bestimmungen enden würde.</w:t>
      </w:r>
    </w:p>
    <w:p>
      <w:r>
        <w:t xml:space="preserve">(3) Tarifvertragliche Bestimmungen über die Einführung, das Ausmaß und die Bezahlung von Kurzarbeit werden durch die Absätze 1 und 2 nicht berührt.</w:t>
      </w:r>
    </w:p>
    <w:p>
      <w:r>
        <w:rPr>
          <w:color w:val="555555"/>
          <w:sz w:val="17"/>
        </w:rPr>
        <w:t xml:space="preserve">Zitiervorschlag: § 19 KSchG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https://recht.nulegal.eu/gesetze/KSchG/19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