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KSchG — Entlassungssperre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Entlassungen, die nach § 17 anzuzeigen sind, werden vor Ablauf eines Monats nach Eingang der Anzeige bei der Agentur für Arbeit nur mit deren Zustimmung wirksam; die Zustimmung kann auch rückwirkend bis zum Tage der Antragstellung erteilt werden.</w:t>
      </w:r>
    </w:p>
    <w:p>
      <w:r>
        <w:t xml:space="preserve">(2) Die Agentur für Arbeit kann im Einzelfall bestimmen, daß die Entlassungen nicht vor Ablauf von längstens zwei Monaten nach Eingang der Anzeige wirksam werden.</w:t>
      </w:r>
    </w:p>
    <w:p>
      <w:r>
        <w:t xml:space="preserve">(3) (weggefallen)</w:t>
      </w:r>
    </w:p>
    <w:p>
      <w:r>
        <w:t xml:space="preserve">(4) Soweit die Entlassungen nicht innerhalb von 90 Tagen nach dem Zeitpunkt, zu dem sie nach den Absätzen 1 und 2 zulässig sind, durchgeführt werden, bedarf es unter den Voraussetzungen des § 17 Abs. 1 einer erneuten Anzeige.</w:t>
      </w:r>
    </w:p>
    <w:p>
      <w:r>
        <w:rPr>
          <w:color w:val="555555"/>
          <w:sz w:val="17"/>
        </w:rPr>
        <w:t xml:space="preserve">Zitiervorschlag: § 18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