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KSchG — Angestellte in leitender Stellung</w:t>
      </w:r>
    </w:p>
    <w:p>
      <w:r>
        <w:rPr>
          <w:color w:val="555555"/>
          <w:sz w:val="18"/>
        </w:rPr>
        <w:t xml:space="preserve">Kündigungsschutzgesetz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dieses Abschnitts gelten nicht</w:t>
      </w:r>
    </w:p>
    <w:p>
      <w:pPr>
        <w:ind w:left="420"/>
      </w:pPr>
      <w:r>
        <w:t xml:space="preserve">1. in Betrieben einer juristischen Person für die Mitglieder des Organs, das zur gesetzlichen Vertretung der juristischen Person berufen ist,</w:t>
      </w:r>
    </w:p>
    <w:p>
      <w:pPr>
        <w:ind w:left="420"/>
      </w:pPr>
      <w:r>
        <w:t xml:space="preserve">2. in Betrieben einer Personengesamtheit für die durch Gesetz, Satzung oder Gesellschaftsvertrag zur Vertretung der Personengesamtheit berufenen Personen.</w:t>
      </w:r>
    </w:p>
    <w:p>
      <w:r>
        <w:t xml:space="preserve">(2) Auf Geschäftsführer, Betriebsleiter und ähnliche leitende Angestellte, soweit diese zur selbständigen Einstellung oder Entlassung von Arbeitnehmern berechtigt sind, finden die Vorschriften dieses Abschnitts mit Ausnahme des § 3 Anwendung. § 9 Abs. 1 Satz 2 findet mit der Maßgabe Anwendung, daß der Antrag des Arbeitgebers auf Auflösung des Arbeitsverhältnisses keiner Begründung bedarf.</w:t>
      </w:r>
    </w:p>
    <w:p>
      <w:r>
        <w:rPr>
          <w:color w:val="555555"/>
          <w:sz w:val="17"/>
        </w:rPr>
        <w:t xml:space="preserve">Zitiervorschlag: § 14 KSchG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https://recht.nulegal.eu/gesetze/KSchG/14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