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KSchG — Höhe der Abfindung</w:t>
      </w:r>
    </w:p>
    <w:p>
      <w:r>
        <w:rPr>
          <w:color w:val="555555"/>
          <w:sz w:val="18"/>
        </w:rPr>
        <w:t xml:space="preserve">Kündigungsschutzgesetz</w:t>
      </w:r>
    </w:p>
    <w:p>
      <w:r>
        <w:rPr>
          <w:color w:val="555555"/>
          <w:sz w:val="18"/>
        </w:rPr>
        <w:t xml:space="preserve">Stand: 10.06.2019 (konsolidierte Textfassung, kein amtliches Inkrafttretensdatum)</w:t>
      </w:r>
    </w:p>
    <w:p>
      <w:r>
        <w:t xml:space="preserve">(1) Als Abfindung ist ein Betrag bis zu zwölf Monatsverdiensten festzusetzen.</w:t>
      </w:r>
    </w:p>
    <w:p>
      <w:r>
        <w:t xml:space="preserve">(2) Hat der Arbeitnehmer das fünfzigste Lebensjahr vollendet und hat das Arbeitsverhältnis mindestens fünfzehn Jahre bestanden, so ist ein Betrag bis zu fünfzehn Monatsverdiensten, hat der Arbeitnehmer das fünfundfünfzigste Lebensjahr vollendet und hat das Arbeitsverhältnis mindestens zwanzig Jahre bestanden, so ist ein Betrag bis zu achtzehn Monatsverdiensten festzusetzen. Dies gilt nicht, wenn der Arbeitnehmer in dem Zeitpunkt, den das Gericht nach § 9 Abs. 2 für die Auflösung des Arbeitsverhältnisses festsetzt, das in der Vorschrift des Sechsten Buches Sozialgesetzbuch über die Regelaltersrente bezeichnete Lebensalter erreicht hat.</w:t>
      </w:r>
    </w:p>
    <w:p>
      <w:r>
        <w:t xml:space="preserve">(3) Als Monatsverdienst gilt, was dem Arbeitnehmer bei der für ihn maßgebenden regelmäßigen Arbeitszeit in dem Monat, in dem das Arbeitsverhältnis endet (§ 9 Abs. 2), an Geld und Sachbezügen zusteht.</w:t>
      </w:r>
    </w:p>
    <w:p>
      <w:r>
        <w:rPr>
          <w:color w:val="555555"/>
          <w:sz w:val="17"/>
        </w:rPr>
        <w:t xml:space="preserve">Zitiervorschlag: § 10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https://recht.nulegal.eu/gesetze/KSchG/10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