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KSWiepG (Brandenburg) — Inkrafttreten</w:t>
      </w:r>
    </w:p>
    <w:p>
      <w:r>
        <w:rPr>
          <w:color w:val="555555"/>
          <w:sz w:val="18"/>
        </w:rPr>
        <w:t xml:space="preserve">Gesetz über die Errichtung der Kulturstiftung Schloss Wiepersdorf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Juli 2019 in Kraft.</w:t>
      </w:r>
    </w:p>
    <w:p>
      <w:r>
        <w:t xml:space="preserve">Einzelnorm</w:t>
      </w:r>
    </w:p>
    <w:p>
      <w:r>
        <w:t xml:space="preserve">Potsdam, den 5. Juni 2019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rPr>
          <w:color w:val="555555"/>
          <w:sz w:val="17"/>
        </w:rPr>
        <w:t xml:space="preserve">Zitiervorschlag: § 16 KSWiepG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https://recht.nulegal.eu/gesetze/KSWiepG/16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