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KSWiepG (Brandenburg) — Personal</w:t>
      </w:r>
    </w:p>
    <w:p>
      <w:r>
        <w:rPr>
          <w:color w:val="555555"/>
          <w:sz w:val="18"/>
        </w:rPr>
        <w:t xml:space="preserve">Gesetz über die Errichtung der Kulturstiftung Schloss Wiepersdorf</w:t>
      </w:r>
    </w:p>
    <w:p>
      <w:r>
        <w:rPr>
          <w:color w:val="555555"/>
          <w:sz w:val="18"/>
        </w:rPr>
        <w:t xml:space="preserve">Landesrecht Brandenburg</w:t>
      </w:r>
    </w:p>
    <w:p>
      <w:r>
        <w:rPr>
          <w:color w:val="555555"/>
          <w:sz w:val="18"/>
        </w:rPr>
        <w:t xml:space="preserve">Stand: 01.08.2026 (konsolidierte Textfassung, kein amtliches Inkrafttretensdatum)</w:t>
      </w:r>
    </w:p>
    <w:p>
      <w:r>
        <w:t xml:space="preserve">Für die Arbeitnehmerinnen und Arbeitnehmer der Stiftung finden der Tarifvertrag für den öffentlichen Dienst der Länder und der Tarifvertrag für Auszubildende der Länder in Ausbildungsberufen nach dem Berufsbildungsgesetz sowie die diese ergänzenden, ändernden oder ersetzenden Tarifverträge in ihrer jeweils für das Land Brandenburg geltenden Fassung Anwendung.</w:t>
      </w:r>
    </w:p>
    <w:p>
      <w:r>
        <w:t xml:space="preserve">Einzelnorm</w:t>
      </w:r>
    </w:p>
    <w:p>
      <w:r>
        <w:rPr>
          <w:color w:val="555555"/>
          <w:sz w:val="17"/>
        </w:rPr>
        <w:t xml:space="preserve">Zitiervorschlag: § 12 KSWiepG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https://recht.nulegal.eu/gesetze/KSWiepG/12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