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KSWiepG (Brandenburg) — Errichtung</w:t>
      </w:r>
    </w:p>
    <w:p>
      <w:r>
        <w:rPr>
          <w:color w:val="555555"/>
          <w:sz w:val="18"/>
        </w:rPr>
        <w:t xml:space="preserve">Gesetz über die Errichtung der Kulturstiftung Schloss Wiepersdorf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Brandenburg errichtet unter dem Namen Kulturstiftung Schloss Wiepersdorf eine rechtsfähige Stiftung des öffentlichen Rechts.</w:t>
      </w:r>
    </w:p>
    <w:p>
      <w:r>
        <w:t xml:space="preserve">(2) Sitz der Stiftung ist Wiepersdorf (Teltow-Fläming).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KSWiepG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https://recht.nulegal.eu/gesetze/KSWiepG/1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