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KSVGBeitrÜV</w:t>
      </w:r>
    </w:p>
    <w:p>
      <w:r>
        <w:rPr>
          <w:color w:val="555555"/>
          <w:sz w:val="18"/>
        </w:rPr>
        <w:t xml:space="preserve">KSVG-Beitragsüberwachungsverordnung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2 des Künstlersozialversicherungsgesetzes vom 27. Juli 1981 (BGBl. I S. 705) verordnet das Bundesministerium für Arbeit und Sozialordnung:</w:t>
      </w:r>
    </w:p>
    <w:p>
      <w:r>
        <w:rPr>
          <w:color w:val="555555"/>
          <w:sz w:val="17"/>
        </w:rPr>
        <w:t xml:space="preserve">Zitiervorschlag: Eingangsformel KSVGBeitrÜV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https://recht.nulegal.eu/gesetze/KSVGBeitr%C3%9CV/eingangsformel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