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KSVGBeitrÜV — Auskunft</w:t>
      </w:r>
    </w:p>
    <w:p>
      <w:r>
        <w:rPr>
          <w:color w:val="555555"/>
          <w:sz w:val="18"/>
        </w:rPr>
        <w:t xml:space="preserve">KSVG-Beitragsüberwachungsverordnung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zur Abgabe Verpflichteten haben über die Abgabe- und die Beitragsgrundlagen Auskunft zu geben, insbesondere über</w:t>
      </w:r>
    </w:p>
    <w:p>
      <w:pPr>
        <w:ind w:left="420"/>
      </w:pPr>
      <w:r>
        <w:t xml:space="preserve">1. Namen, Künstlernamen oder Pseudonyme sowie die Anschriften der Personen, an die sie Entgelte für künstlerische oder publizistische Werke oder Leistungen gezahlt haben,</w:t>
      </w:r>
    </w:p>
    <w:p>
      <w:pPr>
        <w:ind w:left="420"/>
      </w:pPr>
      <w:r>
        <w:t xml:space="preserve">2. die Art und Weise, in der Künstler oder Publizisten für sie tätig geworden sind,</w:t>
      </w:r>
    </w:p>
    <w:p>
      <w:pPr>
        <w:ind w:left="420"/>
      </w:pPr>
      <w:r>
        <w:t xml:space="preserve">3. die Vertragsbeziehungen, die zur Inanspruchnahme der Werke oder Leistungen geführt haben,</w:t>
      </w:r>
    </w:p>
    <w:p>
      <w:pPr>
        <w:ind w:left="420"/>
      </w:pPr>
      <w:r>
        <w:t xml:space="preserve">4. die gezahlten Entgelte,</w:t>
      </w:r>
    </w:p>
    <w:p>
      <w:pPr>
        <w:ind w:left="420"/>
      </w:pPr>
      <w:r>
        <w:t xml:space="preserve">5. die Meldungen, Berechnungen und Zahlungen nach § 27 des Künstlersozialversicherungsgesetzes,</w:t>
      </w:r>
    </w:p>
    <w:p>
      <w:r>
        <w:t xml:space="preserve">soweit dies für die Feststellung der Abgabepflicht, der Höhe der Künstlersozialabgabe, der Versicherungspflicht oder der Höhe der Beiträge oder Beitragszuschüsse erforderlich ist.</w:t>
      </w:r>
    </w:p>
    <w:p>
      <w:r>
        <w:rPr>
          <w:color w:val="555555"/>
          <w:sz w:val="17"/>
        </w:rPr>
        <w:t xml:space="preserve">Zitiervorschlag: § 8 KSVGBeitrÜV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https://recht.nulegal.eu/gesetze/KSVGBeitr%C3%9CV/8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