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KSVGBeitrÜV — Auskunft</w:t>
      </w:r>
    </w:p>
    <w:p>
      <w:r>
        <w:rPr>
          <w:color w:val="555555"/>
          <w:sz w:val="18"/>
        </w:rPr>
        <w:t xml:space="preserve">KSVG-Beitragsüberwachungsverordnung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Versicherten haben über die Beitrags- und die Abgabegrundlagen Auskunft zu geben, insbesondere über</w:t>
      </w:r>
    </w:p>
    <w:p>
      <w:pPr>
        <w:ind w:left="420"/>
      </w:pPr>
      <w:r>
        <w:t xml:space="preserve">1. ihren Namen, ihre früheren Namen, ihre Künstlernamen und Pseudonyme, ihr Geburtsdatum und ihren Wohnsitz oder gewöhnlichen Aufenthalt,</w:t>
      </w:r>
    </w:p>
    <w:p>
      <w:pPr>
        <w:ind w:left="420"/>
      </w:pPr>
      <w:r>
        <w:t xml:space="preserve">2. die Orte, an denen sie ihre künstlerischen und publizistischen Tätigkeiten ausüben und ausgeübt haben,</w:t>
      </w:r>
    </w:p>
    <w:p>
      <w:pPr>
        <w:ind w:left="420"/>
      </w:pPr>
      <w:r>
        <w:t xml:space="preserve">3. die Art und Weise, in der sie ihre künstlerischen und publizistischen Tätigkeiten ausüben und ausgeübt haben,</w:t>
      </w:r>
    </w:p>
    <w:p>
      <w:pPr>
        <w:ind w:left="420"/>
      </w:pPr>
      <w:r>
        <w:t xml:space="preserve">4. die Vertragsbeziehungen, die zur Inanspruchnahme ihrer Werke oder Leistungen geführt haben,</w:t>
      </w:r>
    </w:p>
    <w:p>
      <w:pPr>
        <w:ind w:left="420"/>
      </w:pPr>
      <w:r>
        <w:t xml:space="preserve">5. die Namen und die Anschriften derjenigen, die ihre Werke oder Leistungen in Anspruch genommen haben,</w:t>
      </w:r>
    </w:p>
    <w:p>
      <w:pPr>
        <w:ind w:left="420"/>
      </w:pPr>
      <w:r>
        <w:t xml:space="preserve">6. ihre Einnahmen aus künstlerischen und publizistischen Tätigkeiten sowie die Aufwendungen, die nach den Vorschriften des Einkommensteuerrechts als Betriebsausgaben durch die Tätigkeiten veranlaßt worden sind,</w:t>
      </w:r>
    </w:p>
    <w:p>
      <w:pPr>
        <w:ind w:left="420"/>
      </w:pPr>
      <w:r>
        <w:t xml:space="preserve">7. sonstige Zuwendungen, die sie von zur Abgabe Verpflichteten erhalten haben,</w:t>
      </w:r>
    </w:p>
    <w:p>
      <w:pPr>
        <w:ind w:left="420"/>
      </w:pPr>
      <w:r>
        <w:t xml:space="preserve">8. die für eine Versicherungsfreiheit oder eine Befreiung von der Versicherungspflicht maßgebenden Tatsachen,</w:t>
      </w:r>
    </w:p>
    <w:p>
      <w:pPr>
        <w:ind w:left="420"/>
      </w:pPr>
      <w:r>
        <w:t xml:space="preserve">9. die Annahmen, die der Meldung nach § 12 Abs. 1 Satz 1 des Künstlersozialversicherungsgesetzes zugrunde gelegen haben,</w:t>
      </w:r>
    </w:p>
    <w:p>
      <w:r>
        <w:t xml:space="preserve">soweit dies für die Feststellung der Versicherungspflicht, der Höhe der Beiträge oder Beitragszuschüsse oder für die Erhebung der Künstlersozialabgabe erforderlich ist.</w:t>
      </w:r>
    </w:p>
    <w:p>
      <w:r>
        <w:rPr>
          <w:color w:val="555555"/>
          <w:sz w:val="17"/>
        </w:rPr>
        <w:t xml:space="preserve">Zitiervorschlag: § 6 KSVGBeitrÜV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https://recht.nulegal.eu/gesetze/KSVGBeitr%C3%9CV/6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KSVGBeitrÜV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