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KSVGBeitrÜV — Gegenstand</w:t>
      </w:r>
    </w:p>
    <w:p>
      <w:r>
        <w:rPr>
          <w:color w:val="555555"/>
          <w:sz w:val="18"/>
        </w:rPr>
        <w:t xml:space="preserve">KSVG-Beitragsüberwachungsverordnung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Prüfung sind die tatsächlichen und rechtlichen Verhältnisse, die maßgebend sind für die Feststellung</w:t>
      </w:r>
    </w:p>
    <w:p>
      <w:pPr>
        <w:ind w:left="420"/>
      </w:pPr>
      <w:r>
        <w:t xml:space="preserve">1. der Versicherungspflicht, der Höhe der Beiträge und der Beitragszuschüsse (Beitragsgrundlagen),</w:t>
      </w:r>
    </w:p>
    <w:p>
      <w:pPr>
        <w:ind w:left="420"/>
      </w:pPr>
      <w:r>
        <w:t xml:space="preserve">2. der Abgabepflicht und der Höhe der Künstlersozialabgabe (Abgabegrundlagen).</w:t>
      </w:r>
    </w:p>
    <w:p>
      <w:r>
        <w:t xml:space="preserve">(2) Die Prüfung kann sich auf Stichproben beschränken.</w:t>
      </w:r>
    </w:p>
    <w:p>
      <w:r>
        <w:rPr>
          <w:color w:val="555555"/>
          <w:sz w:val="17"/>
        </w:rPr>
        <w:t xml:space="preserve">Zitiervorschlag: § 2 KSVGBeitrÜV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https://recht.nulegal.eu/gesetze/KSVGBeitr%C3%9CV/2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