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KSVGBeitrÜV — Inkrafttreten</w:t>
      </w:r>
    </w:p>
    <w:p>
      <w:r>
        <w:rPr>
          <w:color w:val="555555"/>
          <w:sz w:val="18"/>
        </w:rPr>
        <w:t xml:space="preserve">KSVG-Beitragsüberwachungsverordnung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15 KSVGBeitrÜV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https://recht.nulegal.eu/gesetze/KSVGBeitr%C3%9CV/15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