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KSVGBeitrÜV — Ausweispflicht</w:t>
      </w:r>
    </w:p>
    <w:p>
      <w:r>
        <w:rPr>
          <w:color w:val="555555"/>
          <w:sz w:val="18"/>
        </w:rPr>
        <w:t xml:space="preserve">KSVG-Beitragsüberwachungsverordnung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Prüfer der Künstlersozialkasse haben sich auszuweisen.</w:t>
      </w:r>
    </w:p>
    <w:p>
      <w:r>
        <w:rPr>
          <w:color w:val="555555"/>
          <w:sz w:val="17"/>
        </w:rPr>
        <w:t xml:space="preserve">Zitiervorschlag: § 10 KSVGBeitrÜV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https://recht.nulegal.eu/gesetze/KSVGBeitr%C3%9CV/10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KSVGBeitrÜV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