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KSVGBeitrÜV — Grundsätze</w:t>
      </w:r>
    </w:p>
    <w:p>
      <w:r>
        <w:rPr>
          <w:color w:val="555555"/>
          <w:sz w:val="18"/>
        </w:rPr>
        <w:t xml:space="preserve">KSVG-Beitragsüberwachungsverordnung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Künstlersozialkasse überwacht die Entrichtung der Beitragsanteile der Versicherten und der Künstlersozialabgabe durch die Unternehmer und die Ausgleichsvereinigungen nach Maßgabe der folgenden Vorschriften.</w:t>
      </w:r>
    </w:p>
    <w:p>
      <w:r>
        <w:t xml:space="preserve">(2) Die Überwachung kann in Form einer schriftlich oder elektronisch durchgeführten Prüfung oder in Form einer Außenprüfung erfolgen.</w:t>
      </w:r>
    </w:p>
    <w:p>
      <w:r>
        <w:rPr>
          <w:color w:val="555555"/>
          <w:sz w:val="17"/>
        </w:rPr>
        <w:t xml:space="preserve">Zitiervorschlag: § 1 KSVGBeitrÜV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https://recht.nulegal.eu/gesetze/KSVGBeitr%C3%9CV/1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