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bei einem privaten Krankenversicherungsunternehmen versichert ist und nach diesem Gesetz krankenversicherungspflichtig wird, kann den Versicherungsvertrag zum Ende des Monats kündigen, in dem er den Eintritt der Versicherungspflicht nachweist. Satz 1 gilt entsprechend für den Versicherungsvertrag eines Familienangehörigen, wenn ein Künstler oder Publizist nach diesem Gesetz versicherungspflichtig wird und der Angehörige dadurch in der gesetzlichen Krankenversicherung versichert wird.</w:t>
      </w:r>
    </w:p>
    <w:p>
      <w:r>
        <w:t xml:space="preserve">(2) Wer bei einem privaten Versicherungsunternehmen gegen Pflegebedürftigkeit versichert ist und nach diesem Gesetz pflegeversicherungspflichtig wird, kann den Versicherungsvertrag mit Wirkung vom Eintritt der Versicherungspflicht an kündigen. Absatz 1 Satz 2 gilt entsprechend.</w:t>
      </w:r>
    </w:p>
    <w:p>
      <w:r>
        <w:rPr>
          <w:color w:val="555555"/>
          <w:sz w:val="17"/>
        </w:rPr>
        <w:t xml:space="preserve">Zitiervorschlag: § 9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