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Künstlersozialkasse entscheidet über den Antrag auf Befreiung von der Versicherungspflicht.</w:t>
      </w:r>
    </w:p>
    <w:p>
      <w:r>
        <w:t xml:space="preserve">(2) Die Befreiung nach § 6 Abs. 1 wirkt vom Beginn der Versicherungspflicht an; sind bereits Leistungen der gesetzlichen Krankenversicherung in Anspruch genommen worden, wirkt die Befreiung vom Beginn des Monats an, der auf die Antragstellung folgt. Die Befreiung nach § 7 wirkt vom Beginn des Monats an, der auf die Antragstellung folgt.</w:t>
      </w:r>
    </w:p>
    <w:p>
      <w:r>
        <w:t xml:space="preserve">(3) Der Anspruch auf Leistungen aus der gesetzlichen Krankenversicherung endet mit der Mitgliedschaft.</w:t>
      </w:r>
    </w:p>
    <w:p>
      <w:r>
        <w:rPr>
          <w:color w:val="555555"/>
          <w:sz w:val="17"/>
        </w:rPr>
        <w:t xml:space="preserve">Zitiervorschlag: § 7a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