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KSVG</w:t>
      </w:r>
    </w:p>
    <w:p>
      <w:r>
        <w:rPr>
          <w:color w:val="555555"/>
          <w:sz w:val="18"/>
        </w:rPr>
        <w:t xml:space="preserve">Künstlersozialversicherungsgesetz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Wer als selbständiger Künstler oder Publizist in drei aufeinanderfolgenden Kalenderjahren insgesamt ein Arbeitseinkommen erzielt hat, das über der Summe der Beträge liegt, die für diese Jahre nach § 6 Abs. 6 des Fünften Buches Sozialgesetzbuch als Jahresarbeitsentgeltgrenze festgelegt waren, wird auf Antrag von der Krankenversicherungspflicht nach diesem Gesetz befreit. Die Befreiung kann nicht widerrufen werden.</w:t>
      </w:r>
    </w:p>
    <w:p>
      <w:r>
        <w:t xml:space="preserve">(1a) (weggefallen)</w:t>
      </w:r>
    </w:p>
    <w:p>
      <w:r>
        <w:t xml:space="preserve">(2) Der Antrag ist bis zum 31. März des auf den Dreijahreszeitraum folgenden Kalenderjahres bei der Künstlersozialkasse zu stellen.</w:t>
      </w:r>
    </w:p>
    <w:p>
      <w:r>
        <w:rPr>
          <w:color w:val="555555"/>
          <w:sz w:val="17"/>
        </w:rPr>
        <w:t xml:space="preserve">Zitiervorschlag: § 7 KSVG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https://recht.nulegal.eu/gesetze/KSVG/7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