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vorbehaltlich des Absatzes 2 am 1. Januar 1983 in Kraft.</w:t>
      </w:r>
    </w:p>
    <w:p>
      <w:r>
        <w:t xml:space="preserve">(2) Am Tag nach der Verkündung treten in Kraft:</w:t>
      </w:r>
    </w:p>
    <w:p>
      <w:pPr>
        <w:ind w:left="420"/>
      </w:pPr>
      <w:r>
        <w:t xml:space="preserve">1. der zweite Teil,</w:t>
      </w:r>
    </w:p>
    <w:p>
      <w:pPr>
        <w:ind w:left="420"/>
      </w:pPr>
      <w:r>
        <w:t xml:space="preserve">2. § 28 Satz 3,</w:t>
      </w:r>
    </w:p>
    <w:p>
      <w:r>
        <w:t xml:space="preserve">3.</w:t>
      </w:r>
    </w:p>
    <w:p>
      <w:r>
        <w:rPr>
          <w:color w:val="555555"/>
          <w:sz w:val="17"/>
        </w:rPr>
        <w:t xml:space="preserve">Zitiervorschlag: § 61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