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Künstlersozialkasse hat kurzfristig verfügbare Mittel zur Bestreitung ihrer laufenden Ausgaben sowie zum Ausgleich von Einnahme- und Ausgabeschwankungen (Betriebsmittel) bereitzuhalten. Die Betriebsmittel sollen im Betrag mindestens einer Monatsausgabe nach dem Durchschnitt des voraufgegangenen Kalenderjahres entsprechen (Liquiditätssoll).</w:t>
      </w:r>
    </w:p>
    <w:p>
      <w:r>
        <w:t xml:space="preserve">(2) Solange das Liquiditätssoll nicht vorhanden ist, hat die Künstlersozialkasse zur Auffüllung der Betriebsmittel jährlich mindestens 1 vom Hundert des im Haushaltsplan vorgesehenen Einnahmesolls (Auffüllungssoll) den Betriebsmitteln zuzuführen.</w:t>
      </w:r>
    </w:p>
    <w:p>
      <w:r>
        <w:rPr>
          <w:color w:val="555555"/>
          <w:sz w:val="17"/>
        </w:rPr>
        <w:t xml:space="preserve">Zitiervorschlag: § 44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