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KSVG</w:t>
      </w:r>
    </w:p>
    <w:p>
      <w:r>
        <w:rPr>
          <w:color w:val="555555"/>
          <w:sz w:val="18"/>
        </w:rPr>
        <w:t xml:space="preserve">Künstlersozialversicherungsgesetz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Widerspruchsbescheid im Vorverfahren nach § 85 Abs. 2 des Sozialgerichtsgesetzes erläßt einer der bei der Künstlersozialkasse zu bildenden Ausschüsse. Es wird jeweils ein Ausschuß für die Bereiche Wort, Musik, darstellende Kunst und bildende Kunst errichtet.</w:t>
      </w:r>
    </w:p>
    <w:p>
      <w:r>
        <w:t xml:space="preserve">(2) Jeder Ausschuß setzt sich aus zwei Mitgliedern des Beirats, und zwar je einem Vertreter der Versicherten und der nach § 24 Abs. 1 oder 2 zur Abgabe Verpflichteten, und einem Vertreter der Künstlersozialkasse zusammen. Die Mitglieder der Ausschüsse werden auf Vorschlag des Beirats durch die Künstlersozialkasse berufen.</w:t>
      </w:r>
    </w:p>
    <w:p>
      <w:r>
        <w:t xml:space="preserve">(3) Die Mitglieder der Ausschüsse sind unabhängig und nur dem Gesetz unterworfen.</w:t>
      </w:r>
    </w:p>
    <w:p>
      <w:r>
        <w:t xml:space="preserve">(4) Für die Mitglieder des Beirats in den Ausschüssen gilt § 38 Abs. 4.</w:t>
      </w:r>
    </w:p>
    <w:p>
      <w:r>
        <w:rPr>
          <w:color w:val="555555"/>
          <w:sz w:val="17"/>
        </w:rPr>
        <w:t xml:space="preserve">Zitiervorschlag: § 39 KSVG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