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KSVG</w:t>
      </w:r>
    </w:p>
    <w:p>
      <w:r>
        <w:rPr>
          <w:color w:val="555555"/>
          <w:sz w:val="18"/>
        </w:rPr>
        <w:t xml:space="preserve">Künstlersozialversicherungsgesetz</w:t>
      </w:r>
    </w:p>
    <w:p>
      <w:r>
        <w:rPr>
          <w:color w:val="555555"/>
          <w:sz w:val="18"/>
        </w:rPr>
        <w:t xml:space="preserve">Stand: 01.01.2025 (konsolidierte Textfassung, kein amtliches Inkrafttretensdatum)</w:t>
      </w:r>
    </w:p>
    <w:p>
      <w:r>
        <w:t xml:space="preserve">(1) Die Deutsche Rentenversicherung Knappschaft-Bahn-See führt dieses Gesetz im Auftrag des Bundes als Künstlersozialkasse durch. Der Dienstsitz der Künstlersozialkasse ist Wilhelmshaven.</w:t>
      </w:r>
    </w:p>
    <w:p>
      <w:r>
        <w:t xml:space="preserve">(2) In Angelegenheiten der Künstlersozialversicherung führt das dafür zuständige Mitglied der Geschäftsführung der Deutschen Rentenversicherung Knappschaft-Bahn-See die Verwaltungsgeschäfte und vertritt die Künstlersozialkasse gerichtlich und außergerichtlich. Vor seiner Bestellung ist der Beirat bei der Künstlersozialkasse zu hören. Die für die Künstlersozialkasse zuständige Abteilungsleitung wird auf Vorschlag des Mitglieds der Geschäftsführung nach Anhörung des Beirats bei der Künstlersozialkasse vom Bundesministerium für Arbeit und Soziales bestellt.</w:t>
      </w:r>
    </w:p>
    <w:p>
      <w:r>
        <w:t xml:space="preserve">(3) Das Bundesministerium für Arbeit und Soziales ernennt und entlässt die Beamtinnen und Beamten der Künstlersozialkasse. Es kann seine Befugnisse auf das zuständige Mitglied der Geschäftsführung der Deutschen Rentenversicherung Knappschaft-Bahn-See übertragen.</w:t>
      </w:r>
    </w:p>
    <w:p>
      <w:r>
        <w:t xml:space="preserve">(4) Oberste Dienstbehörde für die in Absatz 2 Satz 3 genannte Abteilungsleitung ist das Bundesministerium für Arbeit und Soziales, für die übrigen Beamten der Künstlersozialkasse das zuständige Mitglied der Geschäftsführung der Deutschen Rentenversicherung Knappschaft-Bahn-See.</w:t>
      </w:r>
    </w:p>
    <w:p>
      <w:r>
        <w:rPr>
          <w:color w:val="555555"/>
          <w:sz w:val="17"/>
        </w:rPr>
        <w:t xml:space="preserve">Zitiervorschlag: § 37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