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 der Versicherte, der vorsätzlich oder fahrlässig</w:t>
      </w:r>
    </w:p>
    <w:p>
      <w:pPr>
        <w:ind w:left="420"/>
      </w:pPr>
      <w:r>
        <w:t xml:space="preserve">1. entgegen § 11 Abs. 2 auf Verlangen Angaben nicht, nicht richtig oder nicht vollständig macht,</w:t>
      </w:r>
    </w:p>
    <w:p>
      <w:pPr>
        <w:ind w:left="420"/>
      </w:pPr>
      <w:r>
        <w:t xml:space="preserve">2. der Auskunfts- oder Vorlagepflicht nach § 11 Abs. 2 auf Verlangen nicht, nicht richtig oder nicht vollständig nachkommt oder</w:t>
      </w:r>
    </w:p>
    <w:p>
      <w:pPr>
        <w:ind w:left="420"/>
      </w:pPr>
      <w:r>
        <w:t xml:space="preserve">3. der Meldepflicht nach § 12 Abs. 1 Satz 1 nicht rechtzeitig, nicht richtig oder nicht vollständig nachkommt.</w:t>
      </w:r>
    </w:p>
    <w:p>
      <w:r>
        <w:t xml:space="preserve">(2) Ordnungswidrig handelt der zur Abgabe Verpflichtete, der vorsätzlich oder fahrlässig</w:t>
      </w:r>
    </w:p>
    <w:p>
      <w:pPr>
        <w:ind w:left="420"/>
      </w:pPr>
      <w:r>
        <w:t xml:space="preserve">1. entgegen § 27 Abs. 1 Satz 1 die Summe der sich nach § 25 ergebenden Beträge nicht rechtzeitig oder nicht richtig meldet,</w:t>
      </w:r>
    </w:p>
    <w:p>
      <w:pPr>
        <w:ind w:left="420"/>
      </w:pPr>
      <w:r>
        <w:t xml:space="preserve">2. entgegen § 28 Satz 1 Aufzeichnungen nicht, nicht richtig oder nicht vollständig führt oder</w:t>
      </w:r>
    </w:p>
    <w:p>
      <w:pPr>
        <w:ind w:left="420"/>
      </w:pPr>
      <w:r>
        <w:t xml:space="preserve">3. der Auskunfts- oder Vorlagepflicht nach § 29 auf Verlangen nicht, nicht richtig oder nicht vollständig nachkommt.</w:t>
      </w:r>
    </w:p>
    <w:p>
      <w:r>
        <w:t xml:space="preserve">(3) Die Ordnungswidrigkeit kann in den Fällen des Absatzes 2 mit einer Geldbuße bis zu fünfzigtausend Euro und in den Fällen des Absatzes 1 mit einer Geldbuße bis zu fünftausend Euro geahndet werden.</w:t>
      </w:r>
    </w:p>
    <w:p>
      <w:r>
        <w:t xml:space="preserve">(4) Verwaltungsbehörde im Sinne des § 36 Abs. 1 Nr. 1 des Gesetzes über Ordnungswidrigkeiten ist</w:t>
      </w:r>
    </w:p>
    <w:p>
      <w:pPr>
        <w:ind w:left="420"/>
      </w:pPr>
      <w:r>
        <w:t xml:space="preserve">1. der Träger der Rentenversicherung, wenn Ordnungswidrigkeiten nach Absatz 2 Nr. 2 und 3 von ihm bei einer Prüfung nach § 28p Abs. 1a des Vierten Buches Sozialgesetzbuch festgestellt werden,</w:t>
      </w:r>
    </w:p>
    <w:p>
      <w:pPr>
        <w:ind w:left="420"/>
      </w:pPr>
      <w:r>
        <w:t xml:space="preserve">2. im Übrigen die Künstlersozialkasse.</w:t>
      </w:r>
    </w:p>
    <w:p>
      <w:r>
        <w:rPr>
          <w:color w:val="555555"/>
          <w:sz w:val="17"/>
        </w:rPr>
        <w:t xml:space="preserve">Zitiervorschlag: § 36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